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60" w:rsidRDefault="0078073D" w:rsidP="006D7D60">
      <w:pPr>
        <w:jc w:val="center"/>
        <w:rPr>
          <w:b/>
          <w:sz w:val="32"/>
          <w:szCs w:val="32"/>
        </w:rPr>
      </w:pPr>
      <w:r w:rsidRPr="00A17692">
        <w:rPr>
          <w:b/>
          <w:sz w:val="32"/>
          <w:szCs w:val="32"/>
        </w:rPr>
        <w:t>X-Ray Fluorescence (XRF) Spectrum Analyzer</w:t>
      </w:r>
    </w:p>
    <w:p w:rsidR="00A15DAD" w:rsidRDefault="00A15DAD" w:rsidP="006D7D60">
      <w:pPr>
        <w:rPr>
          <w:b/>
        </w:rPr>
      </w:pPr>
    </w:p>
    <w:p w:rsidR="00C21162" w:rsidRDefault="00725646" w:rsidP="006169FD">
      <w:r>
        <w:t>The NITON 700</w:t>
      </w:r>
      <w:r w:rsidR="00E33CDB">
        <w:t xml:space="preserve"> </w:t>
      </w:r>
      <w:r>
        <w:t xml:space="preserve">Series </w:t>
      </w:r>
      <w:r w:rsidR="00E33CDB">
        <w:t>M</w:t>
      </w:r>
      <w:r>
        <w:t>ulti-</w:t>
      </w:r>
      <w:r w:rsidR="00E33CDB">
        <w:t>E</w:t>
      </w:r>
      <w:r>
        <w:t>lement Analyzer</w:t>
      </w:r>
      <w:r w:rsidR="00E33CDB">
        <w:t xml:space="preserve"> is a h</w:t>
      </w:r>
      <w:r w:rsidR="0078073D">
        <w:t xml:space="preserve">andheld portable XRF instrument </w:t>
      </w:r>
      <w:r w:rsidR="00C21162">
        <w:t xml:space="preserve">for </w:t>
      </w:r>
      <w:r w:rsidR="0078073D">
        <w:t>identify</w:t>
      </w:r>
      <w:r w:rsidR="00E33CDB">
        <w:t xml:space="preserve">ing </w:t>
      </w:r>
      <w:r w:rsidR="0078073D">
        <w:t>and quantify</w:t>
      </w:r>
      <w:r w:rsidR="00E33CDB">
        <w:t>ing</w:t>
      </w:r>
      <w:r w:rsidR="0078073D">
        <w:t xml:space="preserve"> elemental concentrations in a variety of environmental samples. </w:t>
      </w:r>
      <w:r w:rsidR="00C21162">
        <w:t>It is a non-destructive on-site assessment tool used in industrial hygiene, site assessment, remediation and compliance testing.</w:t>
      </w:r>
    </w:p>
    <w:p w:rsidR="00C21162" w:rsidRDefault="00C21162" w:rsidP="006169FD"/>
    <w:p w:rsidR="00C21162" w:rsidRPr="006D7D60" w:rsidRDefault="00C21162" w:rsidP="00C21162">
      <w:pPr>
        <w:rPr>
          <w:b/>
        </w:rPr>
      </w:pPr>
      <w:r w:rsidRPr="006D7D60">
        <w:rPr>
          <w:b/>
        </w:rPr>
        <w:t>XRF Principles</w:t>
      </w:r>
    </w:p>
    <w:p w:rsidR="00C21162" w:rsidRDefault="00C21162" w:rsidP="00C21162"/>
    <w:p w:rsidR="0078073D" w:rsidRDefault="0078073D" w:rsidP="006169FD">
      <w:r>
        <w:t>A radioactive source, Cd-109</w:t>
      </w:r>
      <w:r w:rsidR="00725646">
        <w:t xml:space="preserve"> or Am-241</w:t>
      </w:r>
      <w:r>
        <w:t xml:space="preserve">, emits gamma rays with energies sufficient to eject K-shell and L-shell electrons from the target atom. An electron from a higher energy shell drops down to fill the vacancy created by the ejected electron. This electron gives off its excess energy in the form of X-rays, the fluorescence. </w:t>
      </w:r>
      <w:r w:rsidR="00647FAE">
        <w:t>Each element produces unique fluorescent X-ray</w:t>
      </w:r>
      <w:r w:rsidR="00792EA5">
        <w:t>s</w:t>
      </w:r>
      <w:r w:rsidR="00647FAE">
        <w:t xml:space="preserve">. An energy-dispersive X-ray fluorescence spectrum is produced for the sample. </w:t>
      </w:r>
      <w:r>
        <w:t>The energies</w:t>
      </w:r>
      <w:r w:rsidR="00A15DAD">
        <w:t xml:space="preserve"> (</w:t>
      </w:r>
      <w:proofErr w:type="spellStart"/>
      <w:r w:rsidR="00A15DAD">
        <w:t>KeV</w:t>
      </w:r>
      <w:proofErr w:type="spellEnd"/>
      <w:r w:rsidR="00A15DAD">
        <w:t>)</w:t>
      </w:r>
      <w:r>
        <w:t xml:space="preserve"> of the emitted X-rays are characteristic of the target atom and are used for identification of the element. The intensity of the X-rays is proportional to the concentration of the element in the sample</w:t>
      </w:r>
      <w:r w:rsidR="00A17692">
        <w:t xml:space="preserve"> </w:t>
      </w:r>
      <w:r w:rsidR="007072FB" w:rsidRPr="007072FB">
        <w:t xml:space="preserve">(Martin and </w:t>
      </w:r>
      <w:proofErr w:type="spellStart"/>
      <w:r w:rsidR="007072FB" w:rsidRPr="007072FB">
        <w:t>Pesce</w:t>
      </w:r>
      <w:proofErr w:type="spellEnd"/>
      <w:r w:rsidR="007072FB" w:rsidRPr="007072FB">
        <w:t>, 1997)</w:t>
      </w:r>
      <w:r w:rsidR="00A17692">
        <w:t>.</w:t>
      </w:r>
    </w:p>
    <w:p w:rsidR="00725646" w:rsidRDefault="00725646" w:rsidP="006169FD"/>
    <w:p w:rsidR="00A15DAD" w:rsidRDefault="00A15DAD" w:rsidP="00A15DAD">
      <w:pPr>
        <w:rPr>
          <w:b/>
        </w:rPr>
      </w:pPr>
      <w:r w:rsidRPr="00725646">
        <w:rPr>
          <w:b/>
        </w:rPr>
        <w:t>Elements detected</w:t>
      </w:r>
    </w:p>
    <w:p w:rsidR="00A15DAD" w:rsidRDefault="00A15DAD" w:rsidP="00A15DAD">
      <w:pPr>
        <w:rPr>
          <w:b/>
        </w:rPr>
      </w:pPr>
    </w:p>
    <w:tbl>
      <w:tblPr>
        <w:tblStyle w:val="TableGrid"/>
        <w:tblW w:w="0" w:type="auto"/>
        <w:jc w:val="center"/>
        <w:tblLook w:val="01E0" w:firstRow="1" w:lastRow="1" w:firstColumn="1" w:lastColumn="1" w:noHBand="0" w:noVBand="0"/>
      </w:tblPr>
      <w:tblGrid>
        <w:gridCol w:w="2088"/>
        <w:gridCol w:w="2160"/>
      </w:tblGrid>
      <w:tr w:rsidR="00A15DAD" w:rsidTr="00C6789C">
        <w:trPr>
          <w:jc w:val="center"/>
        </w:trPr>
        <w:tc>
          <w:tcPr>
            <w:tcW w:w="2088" w:type="dxa"/>
          </w:tcPr>
          <w:p w:rsidR="00A15DAD" w:rsidRDefault="00A15DAD" w:rsidP="0078073D">
            <w:pPr>
              <w:rPr>
                <w:b/>
              </w:rPr>
            </w:pPr>
            <w:r>
              <w:rPr>
                <w:b/>
              </w:rPr>
              <w:t>Cd-109 source</w:t>
            </w:r>
          </w:p>
        </w:tc>
        <w:tc>
          <w:tcPr>
            <w:tcW w:w="2160" w:type="dxa"/>
          </w:tcPr>
          <w:p w:rsidR="00A15DAD" w:rsidRDefault="00A15DAD" w:rsidP="0078073D">
            <w:pPr>
              <w:rPr>
                <w:b/>
              </w:rPr>
            </w:pPr>
            <w:r>
              <w:rPr>
                <w:b/>
              </w:rPr>
              <w:t>Am-241 Source</w:t>
            </w:r>
          </w:p>
        </w:tc>
      </w:tr>
      <w:tr w:rsidR="00A15DAD" w:rsidTr="00C6789C">
        <w:trPr>
          <w:jc w:val="center"/>
        </w:trPr>
        <w:tc>
          <w:tcPr>
            <w:tcW w:w="2088" w:type="dxa"/>
          </w:tcPr>
          <w:p w:rsidR="00A15DAD" w:rsidRPr="00725646" w:rsidRDefault="00A15DAD" w:rsidP="0078073D">
            <w:r w:rsidRPr="00725646">
              <w:t>Arsenic</w:t>
            </w:r>
          </w:p>
        </w:tc>
        <w:tc>
          <w:tcPr>
            <w:tcW w:w="2160" w:type="dxa"/>
          </w:tcPr>
          <w:p w:rsidR="00A15DAD" w:rsidRPr="00725646" w:rsidRDefault="00A15DAD" w:rsidP="0078073D">
            <w:r w:rsidRPr="00725646">
              <w:t>Antimony</w:t>
            </w:r>
          </w:p>
        </w:tc>
      </w:tr>
      <w:tr w:rsidR="00A15DAD" w:rsidTr="00C6789C">
        <w:trPr>
          <w:jc w:val="center"/>
        </w:trPr>
        <w:tc>
          <w:tcPr>
            <w:tcW w:w="2088" w:type="dxa"/>
          </w:tcPr>
          <w:p w:rsidR="00A15DAD" w:rsidRPr="00725646" w:rsidRDefault="00A15DAD" w:rsidP="0078073D">
            <w:r w:rsidRPr="00725646">
              <w:t>Chromium</w:t>
            </w:r>
          </w:p>
        </w:tc>
        <w:tc>
          <w:tcPr>
            <w:tcW w:w="2160" w:type="dxa"/>
          </w:tcPr>
          <w:p w:rsidR="00A15DAD" w:rsidRPr="00725646" w:rsidRDefault="00A15DAD" w:rsidP="0078073D">
            <w:r w:rsidRPr="00725646">
              <w:t>Barium</w:t>
            </w:r>
          </w:p>
        </w:tc>
      </w:tr>
      <w:tr w:rsidR="00A15DAD" w:rsidTr="00C6789C">
        <w:trPr>
          <w:jc w:val="center"/>
        </w:trPr>
        <w:tc>
          <w:tcPr>
            <w:tcW w:w="2088" w:type="dxa"/>
          </w:tcPr>
          <w:p w:rsidR="00A15DAD" w:rsidRPr="00725646" w:rsidRDefault="00A15DAD" w:rsidP="0078073D">
            <w:r w:rsidRPr="00725646">
              <w:t>Cobalt</w:t>
            </w:r>
          </w:p>
        </w:tc>
        <w:tc>
          <w:tcPr>
            <w:tcW w:w="2160" w:type="dxa"/>
          </w:tcPr>
          <w:p w:rsidR="00A15DAD" w:rsidRPr="00725646" w:rsidRDefault="00A15DAD" w:rsidP="0078073D">
            <w:r w:rsidRPr="00725646">
              <w:t>Cadmium</w:t>
            </w:r>
          </w:p>
        </w:tc>
      </w:tr>
      <w:tr w:rsidR="00A15DAD" w:rsidTr="00C6789C">
        <w:trPr>
          <w:jc w:val="center"/>
        </w:trPr>
        <w:tc>
          <w:tcPr>
            <w:tcW w:w="2088" w:type="dxa"/>
          </w:tcPr>
          <w:p w:rsidR="00A15DAD" w:rsidRPr="00725646" w:rsidRDefault="00A15DAD" w:rsidP="0078073D">
            <w:r w:rsidRPr="00725646">
              <w:t>Copper</w:t>
            </w:r>
          </w:p>
        </w:tc>
        <w:tc>
          <w:tcPr>
            <w:tcW w:w="2160" w:type="dxa"/>
          </w:tcPr>
          <w:p w:rsidR="00A15DAD" w:rsidRPr="00725646" w:rsidRDefault="00A15DAD" w:rsidP="0078073D">
            <w:r w:rsidRPr="00725646">
              <w:t>Indium</w:t>
            </w:r>
          </w:p>
        </w:tc>
      </w:tr>
      <w:tr w:rsidR="00A15DAD" w:rsidTr="00C6789C">
        <w:trPr>
          <w:jc w:val="center"/>
        </w:trPr>
        <w:tc>
          <w:tcPr>
            <w:tcW w:w="2088" w:type="dxa"/>
          </w:tcPr>
          <w:p w:rsidR="00A15DAD" w:rsidRPr="00725646" w:rsidRDefault="00A15DAD" w:rsidP="0078073D">
            <w:r w:rsidRPr="00725646">
              <w:t>Iron</w:t>
            </w:r>
          </w:p>
        </w:tc>
        <w:tc>
          <w:tcPr>
            <w:tcW w:w="2160" w:type="dxa"/>
          </w:tcPr>
          <w:p w:rsidR="00A15DAD" w:rsidRPr="00725646" w:rsidRDefault="00A15DAD" w:rsidP="0078073D">
            <w:r w:rsidRPr="00725646">
              <w:t>Iodine</w:t>
            </w:r>
          </w:p>
        </w:tc>
      </w:tr>
      <w:tr w:rsidR="00A15DAD" w:rsidTr="00C6789C">
        <w:trPr>
          <w:jc w:val="center"/>
        </w:trPr>
        <w:tc>
          <w:tcPr>
            <w:tcW w:w="2088" w:type="dxa"/>
          </w:tcPr>
          <w:p w:rsidR="00A15DAD" w:rsidRPr="00725646" w:rsidRDefault="00A15DAD" w:rsidP="0078073D">
            <w:r w:rsidRPr="00725646">
              <w:t>Lead</w:t>
            </w:r>
          </w:p>
        </w:tc>
        <w:tc>
          <w:tcPr>
            <w:tcW w:w="2160" w:type="dxa"/>
          </w:tcPr>
          <w:p w:rsidR="00A15DAD" w:rsidRPr="00725646" w:rsidRDefault="00A15DAD" w:rsidP="0078073D">
            <w:r w:rsidRPr="00725646">
              <w:t>Palladium</w:t>
            </w:r>
          </w:p>
        </w:tc>
      </w:tr>
      <w:tr w:rsidR="00A15DAD" w:rsidTr="00C6789C">
        <w:trPr>
          <w:jc w:val="center"/>
        </w:trPr>
        <w:tc>
          <w:tcPr>
            <w:tcW w:w="2088" w:type="dxa"/>
          </w:tcPr>
          <w:p w:rsidR="00A15DAD" w:rsidRPr="00725646" w:rsidRDefault="00A15DAD" w:rsidP="0078073D">
            <w:r w:rsidRPr="00725646">
              <w:t>Mercury</w:t>
            </w:r>
          </w:p>
        </w:tc>
        <w:tc>
          <w:tcPr>
            <w:tcW w:w="2160" w:type="dxa"/>
          </w:tcPr>
          <w:p w:rsidR="00A15DAD" w:rsidRPr="00725646" w:rsidRDefault="00A15DAD" w:rsidP="0078073D">
            <w:r w:rsidRPr="00725646">
              <w:t>Silver</w:t>
            </w:r>
          </w:p>
        </w:tc>
      </w:tr>
      <w:tr w:rsidR="00A15DAD" w:rsidTr="00C6789C">
        <w:trPr>
          <w:jc w:val="center"/>
        </w:trPr>
        <w:tc>
          <w:tcPr>
            <w:tcW w:w="2088" w:type="dxa"/>
          </w:tcPr>
          <w:p w:rsidR="00A15DAD" w:rsidRPr="00725646" w:rsidRDefault="00A15DAD" w:rsidP="0078073D">
            <w:r w:rsidRPr="00725646">
              <w:t>Molybdenum</w:t>
            </w:r>
          </w:p>
        </w:tc>
        <w:tc>
          <w:tcPr>
            <w:tcW w:w="2160" w:type="dxa"/>
          </w:tcPr>
          <w:p w:rsidR="00A15DAD" w:rsidRPr="00725646" w:rsidRDefault="00A15DAD" w:rsidP="0078073D">
            <w:r w:rsidRPr="00725646">
              <w:t>Tin</w:t>
            </w:r>
          </w:p>
        </w:tc>
      </w:tr>
      <w:tr w:rsidR="00A15DAD" w:rsidTr="00C6789C">
        <w:trPr>
          <w:jc w:val="center"/>
        </w:trPr>
        <w:tc>
          <w:tcPr>
            <w:tcW w:w="2088" w:type="dxa"/>
          </w:tcPr>
          <w:p w:rsidR="00A15DAD" w:rsidRPr="00725646" w:rsidRDefault="00A15DAD" w:rsidP="0078073D">
            <w:r w:rsidRPr="00725646">
              <w:t>Nickel</w:t>
            </w:r>
          </w:p>
        </w:tc>
        <w:tc>
          <w:tcPr>
            <w:tcW w:w="2160" w:type="dxa"/>
          </w:tcPr>
          <w:p w:rsidR="00A15DAD" w:rsidRPr="00725646" w:rsidRDefault="00A15DAD" w:rsidP="0078073D"/>
        </w:tc>
      </w:tr>
      <w:tr w:rsidR="00A15DAD" w:rsidTr="00C6789C">
        <w:trPr>
          <w:jc w:val="center"/>
        </w:trPr>
        <w:tc>
          <w:tcPr>
            <w:tcW w:w="2088" w:type="dxa"/>
          </w:tcPr>
          <w:p w:rsidR="00A15DAD" w:rsidRPr="00725646" w:rsidRDefault="00A15DAD" w:rsidP="0078073D">
            <w:r w:rsidRPr="00725646">
              <w:t>Rubidium</w:t>
            </w:r>
          </w:p>
        </w:tc>
        <w:tc>
          <w:tcPr>
            <w:tcW w:w="2160" w:type="dxa"/>
          </w:tcPr>
          <w:p w:rsidR="00A15DAD" w:rsidRPr="00725646" w:rsidRDefault="00A15DAD" w:rsidP="0078073D"/>
        </w:tc>
      </w:tr>
      <w:tr w:rsidR="00A15DAD" w:rsidTr="00C6789C">
        <w:trPr>
          <w:jc w:val="center"/>
        </w:trPr>
        <w:tc>
          <w:tcPr>
            <w:tcW w:w="2088" w:type="dxa"/>
          </w:tcPr>
          <w:p w:rsidR="00A15DAD" w:rsidRPr="00725646" w:rsidRDefault="00A15DAD" w:rsidP="0078073D">
            <w:r w:rsidRPr="00725646">
              <w:t>Selenium</w:t>
            </w:r>
          </w:p>
        </w:tc>
        <w:tc>
          <w:tcPr>
            <w:tcW w:w="2160" w:type="dxa"/>
          </w:tcPr>
          <w:p w:rsidR="00A15DAD" w:rsidRPr="00725646" w:rsidRDefault="00A15DAD" w:rsidP="0078073D"/>
        </w:tc>
      </w:tr>
      <w:tr w:rsidR="00A15DAD" w:rsidTr="00C6789C">
        <w:trPr>
          <w:jc w:val="center"/>
        </w:trPr>
        <w:tc>
          <w:tcPr>
            <w:tcW w:w="2088" w:type="dxa"/>
          </w:tcPr>
          <w:p w:rsidR="00A15DAD" w:rsidRPr="00725646" w:rsidRDefault="00A15DAD" w:rsidP="0078073D">
            <w:r w:rsidRPr="00725646">
              <w:t>Strontium</w:t>
            </w:r>
          </w:p>
        </w:tc>
        <w:tc>
          <w:tcPr>
            <w:tcW w:w="2160" w:type="dxa"/>
          </w:tcPr>
          <w:p w:rsidR="00A15DAD" w:rsidRPr="00725646" w:rsidRDefault="00A15DAD" w:rsidP="0078073D"/>
        </w:tc>
      </w:tr>
      <w:tr w:rsidR="00A15DAD" w:rsidTr="00C6789C">
        <w:trPr>
          <w:jc w:val="center"/>
        </w:trPr>
        <w:tc>
          <w:tcPr>
            <w:tcW w:w="2088" w:type="dxa"/>
          </w:tcPr>
          <w:p w:rsidR="00A15DAD" w:rsidRPr="00725646" w:rsidRDefault="00A15DAD" w:rsidP="0078073D">
            <w:r w:rsidRPr="00725646">
              <w:t>Titanium</w:t>
            </w:r>
          </w:p>
        </w:tc>
        <w:tc>
          <w:tcPr>
            <w:tcW w:w="2160" w:type="dxa"/>
          </w:tcPr>
          <w:p w:rsidR="00A15DAD" w:rsidRPr="00725646" w:rsidRDefault="00A15DAD" w:rsidP="0078073D"/>
        </w:tc>
      </w:tr>
      <w:tr w:rsidR="00A15DAD" w:rsidTr="00C6789C">
        <w:trPr>
          <w:jc w:val="center"/>
        </w:trPr>
        <w:tc>
          <w:tcPr>
            <w:tcW w:w="2088" w:type="dxa"/>
          </w:tcPr>
          <w:p w:rsidR="00A15DAD" w:rsidRPr="00725646" w:rsidRDefault="00A15DAD" w:rsidP="0078073D">
            <w:r w:rsidRPr="00725646">
              <w:t>Zinc</w:t>
            </w:r>
          </w:p>
        </w:tc>
        <w:tc>
          <w:tcPr>
            <w:tcW w:w="2160" w:type="dxa"/>
          </w:tcPr>
          <w:p w:rsidR="00A15DAD" w:rsidRPr="00725646" w:rsidRDefault="00A15DAD" w:rsidP="0078073D"/>
        </w:tc>
      </w:tr>
      <w:tr w:rsidR="00A15DAD" w:rsidTr="00C6789C">
        <w:trPr>
          <w:jc w:val="center"/>
        </w:trPr>
        <w:tc>
          <w:tcPr>
            <w:tcW w:w="2088" w:type="dxa"/>
          </w:tcPr>
          <w:p w:rsidR="00A15DAD" w:rsidRPr="00725646" w:rsidRDefault="00A15DAD" w:rsidP="0078073D">
            <w:r w:rsidRPr="00725646">
              <w:t>Zirconium</w:t>
            </w:r>
          </w:p>
        </w:tc>
        <w:tc>
          <w:tcPr>
            <w:tcW w:w="2160" w:type="dxa"/>
          </w:tcPr>
          <w:p w:rsidR="00A15DAD" w:rsidRPr="00725646" w:rsidRDefault="00A15DAD" w:rsidP="0078073D"/>
        </w:tc>
      </w:tr>
    </w:tbl>
    <w:p w:rsidR="00A15DAD" w:rsidRDefault="00A15DAD" w:rsidP="006169FD"/>
    <w:p w:rsidR="0078073D" w:rsidRDefault="0078073D" w:rsidP="006D7D60">
      <w:pPr>
        <w:rPr>
          <w:b/>
        </w:rPr>
      </w:pPr>
      <w:r w:rsidRPr="006D7D60">
        <w:rPr>
          <w:b/>
        </w:rPr>
        <w:t>XRF Applications</w:t>
      </w:r>
    </w:p>
    <w:p w:rsidR="00A17692" w:rsidRDefault="0078073D" w:rsidP="006D7D60">
      <w:pPr>
        <w:numPr>
          <w:ilvl w:val="0"/>
          <w:numId w:val="1"/>
        </w:numPr>
      </w:pPr>
      <w:r>
        <w:t>elements in paints and coatings (EPA/HUD, 1996)</w:t>
      </w:r>
    </w:p>
    <w:p w:rsidR="00BF04A5" w:rsidRDefault="0078073D" w:rsidP="006D7D60">
      <w:pPr>
        <w:numPr>
          <w:ilvl w:val="0"/>
          <w:numId w:val="1"/>
        </w:numPr>
      </w:pPr>
      <w:r>
        <w:lastRenderedPageBreak/>
        <w:t>dust wipes for surface contamination (NITON, 2000a)</w:t>
      </w:r>
    </w:p>
    <w:p w:rsidR="00941AF8" w:rsidRDefault="00BF04A5" w:rsidP="00941AF8">
      <w:pPr>
        <w:numPr>
          <w:ilvl w:val="0"/>
          <w:numId w:val="1"/>
        </w:numPr>
      </w:pPr>
      <w:r>
        <w:t xml:space="preserve">lead </w:t>
      </w:r>
      <w:r w:rsidR="00941AF8">
        <w:t>in workplace air (Morley, 1997)</w:t>
      </w:r>
    </w:p>
    <w:p w:rsidR="00BF04A5" w:rsidRDefault="0078073D" w:rsidP="00941AF8">
      <w:pPr>
        <w:numPr>
          <w:ilvl w:val="0"/>
          <w:numId w:val="1"/>
        </w:numPr>
      </w:pPr>
      <w:r>
        <w:t>air filters (NIOSH, 1998)</w:t>
      </w:r>
    </w:p>
    <w:p w:rsidR="00BF04A5" w:rsidRDefault="00941AF8" w:rsidP="00941AF8">
      <w:pPr>
        <w:numPr>
          <w:ilvl w:val="0"/>
          <w:numId w:val="1"/>
        </w:numPr>
        <w:tabs>
          <w:tab w:val="num" w:pos="720"/>
        </w:tabs>
      </w:pPr>
      <w:r>
        <w:t xml:space="preserve"> </w:t>
      </w:r>
      <w:r w:rsidR="0078073D">
        <w:t>soil samples (Clark et. al., 1999)</w:t>
      </w:r>
    </w:p>
    <w:p w:rsidR="00647FAE" w:rsidRDefault="00647FAE" w:rsidP="00647FAE"/>
    <w:p w:rsidR="006648EC" w:rsidRPr="006648EC" w:rsidRDefault="006648EC" w:rsidP="00647FAE">
      <w:pPr>
        <w:rPr>
          <w:b/>
        </w:rPr>
      </w:pPr>
      <w:r w:rsidRPr="006648EC">
        <w:rPr>
          <w:b/>
        </w:rPr>
        <w:t>Precautions</w:t>
      </w:r>
    </w:p>
    <w:p w:rsidR="006648EC" w:rsidRPr="006648EC" w:rsidRDefault="002174F1" w:rsidP="002174F1">
      <w:pPr>
        <w:numPr>
          <w:ilvl w:val="0"/>
          <w:numId w:val="12"/>
        </w:numPr>
      </w:pPr>
      <w:r>
        <w:t xml:space="preserve">A </w:t>
      </w:r>
      <w:r w:rsidRPr="006648EC">
        <w:t xml:space="preserve">beam of gamma </w:t>
      </w:r>
      <w:r w:rsidR="00B70A90">
        <w:t xml:space="preserve">rays </w:t>
      </w:r>
      <w:r w:rsidRPr="006648EC">
        <w:t>is continuously emitted</w:t>
      </w:r>
      <w:r>
        <w:t xml:space="preserve">, but shielded by the instrument and protected by interlocks. </w:t>
      </w:r>
      <w:r w:rsidR="006648EC" w:rsidRPr="006648EC">
        <w:t xml:space="preserve">When the shutter of the instrument is opened, </w:t>
      </w:r>
      <w:r>
        <w:t xml:space="preserve">gammas are directed to the sample </w:t>
      </w:r>
      <w:r w:rsidR="006648EC" w:rsidRPr="006648EC">
        <w:t>and x-rays are emitted from materials absorbed by the gamma.</w:t>
      </w:r>
      <w:r>
        <w:t xml:space="preserve"> </w:t>
      </w:r>
      <w:r w:rsidR="006648EC" w:rsidRPr="006648EC">
        <w:t>Thus</w:t>
      </w:r>
      <w:r w:rsidR="00941AF8">
        <w:t>,</w:t>
      </w:r>
      <w:r w:rsidR="006648EC" w:rsidRPr="006648EC">
        <w:t xml:space="preserve"> the device should be used in a safe way to minimize the radiation exposure. </w:t>
      </w:r>
    </w:p>
    <w:p w:rsidR="006648EC" w:rsidRPr="006648EC" w:rsidRDefault="006648EC" w:rsidP="002174F1">
      <w:pPr>
        <w:numPr>
          <w:ilvl w:val="0"/>
          <w:numId w:val="12"/>
        </w:numPr>
      </w:pPr>
      <w:r w:rsidRPr="006648EC">
        <w:t xml:space="preserve">Always be aware of the location of the instrument’s radioactive source and the direction of its </w:t>
      </w:r>
      <w:r w:rsidR="002174F1">
        <w:t xml:space="preserve">gamma </w:t>
      </w:r>
      <w:r w:rsidRPr="006648EC">
        <w:t>beam.</w:t>
      </w:r>
    </w:p>
    <w:p w:rsidR="006648EC" w:rsidRPr="006648EC" w:rsidRDefault="006648EC" w:rsidP="002174F1">
      <w:pPr>
        <w:numPr>
          <w:ilvl w:val="0"/>
          <w:numId w:val="12"/>
        </w:numPr>
      </w:pPr>
      <w:r w:rsidRPr="006648EC">
        <w:t>Shutter should be open only to do a test.</w:t>
      </w:r>
    </w:p>
    <w:p w:rsidR="006648EC" w:rsidRPr="006648EC" w:rsidRDefault="006648EC" w:rsidP="002174F1">
      <w:pPr>
        <w:numPr>
          <w:ilvl w:val="0"/>
          <w:numId w:val="12"/>
        </w:numPr>
      </w:pPr>
      <w:r w:rsidRPr="006648EC">
        <w:t>Instruments should not be pointed at yourself or anyone when the shutter is opened.</w:t>
      </w:r>
    </w:p>
    <w:p w:rsidR="006648EC" w:rsidRPr="002174F1" w:rsidRDefault="006648EC" w:rsidP="006648EC"/>
    <w:p w:rsidR="006648EC" w:rsidRPr="002174F1" w:rsidRDefault="006648EC" w:rsidP="006648EC">
      <w:pPr>
        <w:rPr>
          <w:b/>
          <w:iCs/>
        </w:rPr>
      </w:pPr>
      <w:r w:rsidRPr="002174F1">
        <w:rPr>
          <w:b/>
          <w:bCs/>
          <w:iCs/>
        </w:rPr>
        <w:t>Radiation measurement</w:t>
      </w:r>
    </w:p>
    <w:p w:rsidR="006648EC" w:rsidRPr="002174F1" w:rsidRDefault="006648EC" w:rsidP="002174F1">
      <w:pPr>
        <w:numPr>
          <w:ilvl w:val="0"/>
          <w:numId w:val="13"/>
        </w:numPr>
      </w:pPr>
      <w:r w:rsidRPr="002174F1">
        <w:t xml:space="preserve">Radiation is typically measured in </w:t>
      </w:r>
      <w:proofErr w:type="spellStart"/>
      <w:r w:rsidRPr="002174F1">
        <w:t>rems</w:t>
      </w:r>
      <w:proofErr w:type="spellEnd"/>
      <w:r w:rsidRPr="002174F1">
        <w:t>, or in one thousand</w:t>
      </w:r>
      <w:r w:rsidR="002174F1">
        <w:t>th</w:t>
      </w:r>
      <w:r w:rsidRPr="002174F1">
        <w:t xml:space="preserve"> of rem, called </w:t>
      </w:r>
      <w:proofErr w:type="spellStart"/>
      <w:r w:rsidRPr="002174F1">
        <w:t>millirems</w:t>
      </w:r>
      <w:proofErr w:type="spellEnd"/>
      <w:r w:rsidRPr="002174F1">
        <w:t xml:space="preserve"> (</w:t>
      </w:r>
      <w:proofErr w:type="spellStart"/>
      <w:r w:rsidRPr="002174F1">
        <w:t>mR</w:t>
      </w:r>
      <w:proofErr w:type="spellEnd"/>
      <w:r w:rsidRPr="002174F1">
        <w:t>).</w:t>
      </w:r>
    </w:p>
    <w:p w:rsidR="006648EC" w:rsidRPr="002174F1" w:rsidRDefault="00B70A90" w:rsidP="002174F1">
      <w:pPr>
        <w:numPr>
          <w:ilvl w:val="0"/>
          <w:numId w:val="13"/>
        </w:numPr>
      </w:pPr>
      <w:r>
        <w:t xml:space="preserve">The </w:t>
      </w:r>
      <w:r w:rsidR="006648EC" w:rsidRPr="002174F1">
        <w:t xml:space="preserve">occupational exposure limit </w:t>
      </w:r>
      <w:r>
        <w:t xml:space="preserve">for whole body </w:t>
      </w:r>
      <w:r w:rsidR="006648EC" w:rsidRPr="002174F1">
        <w:t xml:space="preserve">radiation is </w:t>
      </w:r>
      <w:proofErr w:type="gramStart"/>
      <w:r w:rsidR="006648EC" w:rsidRPr="002174F1">
        <w:t xml:space="preserve">5,000 </w:t>
      </w:r>
      <w:proofErr w:type="spellStart"/>
      <w:r w:rsidR="006648EC" w:rsidRPr="002174F1">
        <w:t>mR</w:t>
      </w:r>
      <w:proofErr w:type="spellEnd"/>
      <w:r w:rsidR="006648EC" w:rsidRPr="002174F1">
        <w:t>/year</w:t>
      </w:r>
      <w:proofErr w:type="gramEnd"/>
      <w:r>
        <w:t>.</w:t>
      </w:r>
    </w:p>
    <w:p w:rsidR="006648EC" w:rsidRPr="002174F1" w:rsidRDefault="006648EC" w:rsidP="002174F1">
      <w:pPr>
        <w:numPr>
          <w:ilvl w:val="0"/>
          <w:numId w:val="13"/>
        </w:numPr>
      </w:pPr>
      <w:r w:rsidRPr="002174F1">
        <w:t xml:space="preserve">Exposure from properly handling the XRF </w:t>
      </w:r>
      <w:r w:rsidR="00B70A90">
        <w:t xml:space="preserve">should </w:t>
      </w:r>
      <w:r w:rsidRPr="002174F1">
        <w:t xml:space="preserve">be </w:t>
      </w:r>
      <w:proofErr w:type="gramStart"/>
      <w:r w:rsidRPr="002174F1">
        <w:t xml:space="preserve">less than 50 </w:t>
      </w:r>
      <w:proofErr w:type="spellStart"/>
      <w:r w:rsidRPr="002174F1">
        <w:t>mR</w:t>
      </w:r>
      <w:proofErr w:type="spellEnd"/>
      <w:r w:rsidRPr="002174F1">
        <w:t xml:space="preserve">/year, assuming </w:t>
      </w:r>
      <w:r w:rsidR="00B70A90">
        <w:t xml:space="preserve">2000 hours of </w:t>
      </w:r>
      <w:r w:rsidRPr="002174F1">
        <w:t xml:space="preserve">instrument </w:t>
      </w:r>
      <w:r w:rsidR="00B70A90">
        <w:t>use</w:t>
      </w:r>
      <w:proofErr w:type="gramEnd"/>
      <w:r w:rsidRPr="002174F1">
        <w:t>.</w:t>
      </w:r>
    </w:p>
    <w:p w:rsidR="006648EC" w:rsidRPr="002174F1" w:rsidRDefault="006648EC" w:rsidP="006648EC"/>
    <w:p w:rsidR="00647FAE" w:rsidRDefault="00647FAE" w:rsidP="00647FAE">
      <w:r>
        <w:t xml:space="preserve">In </w:t>
      </w:r>
      <w:smartTag w:uri="urn:schemas-microsoft-com:office:smarttags" w:element="State">
        <w:smartTag w:uri="urn:schemas-microsoft-com:office:smarttags" w:element="place">
          <w:r>
            <w:t>Texas</w:t>
          </w:r>
        </w:smartTag>
      </w:smartTag>
      <w:r>
        <w:t>, i</w:t>
      </w:r>
      <w:r w:rsidRPr="00E33CDB">
        <w:t xml:space="preserve">nstrument users must </w:t>
      </w:r>
      <w:r>
        <w:t xml:space="preserve">undergo radiation training. The owner must have a </w:t>
      </w:r>
      <w:r w:rsidRPr="00E33CDB">
        <w:t>ra</w:t>
      </w:r>
      <w:r>
        <w:t>diation license and the sealed radiation source must be leak tested every six months. A copy of the leak test results and a copy of the radiation license must accompany the instrument. There are regulations that govern air transport, crossing state lines and international borders of radioactive materials, so its ease of use is limited.</w:t>
      </w:r>
    </w:p>
    <w:p w:rsidR="00647FAE" w:rsidRDefault="00647FAE" w:rsidP="00647FAE"/>
    <w:p w:rsidR="006648EC" w:rsidRPr="006648EC" w:rsidRDefault="006648EC" w:rsidP="006648EC">
      <w:pPr>
        <w:rPr>
          <w:b/>
          <w:bCs/>
          <w:iCs/>
        </w:rPr>
      </w:pPr>
      <w:r w:rsidRPr="006648EC">
        <w:rPr>
          <w:b/>
          <w:bCs/>
          <w:iCs/>
        </w:rPr>
        <w:t>NITON XRF</w:t>
      </w:r>
    </w:p>
    <w:p w:rsidR="006648EC" w:rsidRPr="006648EC" w:rsidRDefault="006648EC" w:rsidP="006648EC">
      <w:pPr>
        <w:numPr>
          <w:ilvl w:val="0"/>
          <w:numId w:val="8"/>
        </w:numPr>
      </w:pPr>
      <w:r w:rsidRPr="006648EC">
        <w:t xml:space="preserve">The </w:t>
      </w:r>
      <w:r w:rsidR="00B70A90">
        <w:t xml:space="preserve">NITON XRF 700 </w:t>
      </w:r>
      <w:r w:rsidRPr="006648EC">
        <w:t>is designed and calibrated to measure 14 elements simultaneously with the storage capacity of 3000 readings of complex x-ray spectra.</w:t>
      </w:r>
    </w:p>
    <w:p w:rsidR="006648EC" w:rsidRPr="006648EC" w:rsidRDefault="006648EC" w:rsidP="006648EC">
      <w:pPr>
        <w:numPr>
          <w:ilvl w:val="0"/>
          <w:numId w:val="8"/>
        </w:numPr>
      </w:pPr>
      <w:r w:rsidRPr="006648EC">
        <w:t>Data can be downloaded to a personal computer using NITON XTRAS</w:t>
      </w:r>
      <w:r w:rsidRPr="006648EC">
        <w:rPr>
          <w:vertAlign w:val="superscript"/>
        </w:rPr>
        <w:t>TM</w:t>
      </w:r>
      <w:r w:rsidRPr="006648EC">
        <w:t xml:space="preserve"> software. </w:t>
      </w:r>
    </w:p>
    <w:p w:rsidR="006648EC" w:rsidRPr="006648EC" w:rsidRDefault="006648EC" w:rsidP="006648EC"/>
    <w:p w:rsidR="006648EC" w:rsidRPr="006648EC" w:rsidRDefault="006648EC" w:rsidP="006648EC">
      <w:pPr>
        <w:rPr>
          <w:iCs/>
        </w:rPr>
      </w:pPr>
      <w:r w:rsidRPr="006648EC">
        <w:rPr>
          <w:b/>
          <w:bCs/>
          <w:iCs/>
        </w:rPr>
        <w:t>Calibration</w:t>
      </w:r>
    </w:p>
    <w:p w:rsidR="006648EC" w:rsidRPr="006648EC" w:rsidRDefault="006648EC" w:rsidP="006648EC">
      <w:pPr>
        <w:numPr>
          <w:ilvl w:val="0"/>
          <w:numId w:val="9"/>
        </w:numPr>
      </w:pPr>
      <w:r w:rsidRPr="006648EC">
        <w:t>The device is factory calibrated and re</w:t>
      </w:r>
      <w:r w:rsidR="007D200D">
        <w:t>-</w:t>
      </w:r>
      <w:r w:rsidRPr="006648EC">
        <w:t>sourced.</w:t>
      </w:r>
    </w:p>
    <w:p w:rsidR="006648EC" w:rsidRPr="006648EC" w:rsidRDefault="007D200D" w:rsidP="006648EC">
      <w:pPr>
        <w:numPr>
          <w:ilvl w:val="0"/>
          <w:numId w:val="9"/>
        </w:numPr>
      </w:pPr>
      <w:r>
        <w:t>F</w:t>
      </w:r>
      <w:r w:rsidR="00B70A90">
        <w:t xml:space="preserve">ield </w:t>
      </w:r>
      <w:r w:rsidR="006648EC" w:rsidRPr="006648EC">
        <w:t>calibration</w:t>
      </w:r>
      <w:r w:rsidR="00B70A90">
        <w:t xml:space="preserve"> </w:t>
      </w:r>
      <w:r w:rsidR="006648EC" w:rsidRPr="006648EC">
        <w:t>should be done every time the device is turned on</w:t>
      </w:r>
      <w:r w:rsidR="006648EC">
        <w:t xml:space="preserve">, every hour or so of operation </w:t>
      </w:r>
      <w:r w:rsidR="006648EC" w:rsidRPr="006648EC">
        <w:t xml:space="preserve">or </w:t>
      </w:r>
      <w:r w:rsidR="006648EC">
        <w:t xml:space="preserve">when </w:t>
      </w:r>
      <w:r w:rsidR="006648EC" w:rsidRPr="006648EC">
        <w:t xml:space="preserve">reset </w:t>
      </w:r>
      <w:r w:rsidR="006648EC">
        <w:t>t</w:t>
      </w:r>
      <w:r w:rsidR="006648EC" w:rsidRPr="006648EC">
        <w:t>o a new mode.</w:t>
      </w:r>
    </w:p>
    <w:p w:rsidR="006648EC" w:rsidRPr="002174F1" w:rsidRDefault="006648EC" w:rsidP="002174F1"/>
    <w:p w:rsidR="002174F1" w:rsidRPr="002174F1" w:rsidRDefault="002174F1" w:rsidP="002174F1">
      <w:pPr>
        <w:rPr>
          <w:iCs/>
        </w:rPr>
      </w:pPr>
      <w:r w:rsidRPr="002174F1">
        <w:rPr>
          <w:b/>
          <w:bCs/>
          <w:iCs/>
        </w:rPr>
        <w:t>Bulk Sample Mode</w:t>
      </w:r>
    </w:p>
    <w:p w:rsidR="002174F1" w:rsidRPr="002174F1" w:rsidRDefault="002174F1" w:rsidP="002174F1">
      <w:r>
        <w:t>U</w:t>
      </w:r>
      <w:r w:rsidRPr="002174F1">
        <w:t>sed to measure concentrations of contaminants in any fairly homogeneous, fine-grained medium such as soil, paint chips or liquid.</w:t>
      </w:r>
    </w:p>
    <w:p w:rsidR="002174F1" w:rsidRPr="002174F1" w:rsidRDefault="002174F1" w:rsidP="002174F1"/>
    <w:p w:rsidR="002174F1" w:rsidRPr="002174F1" w:rsidRDefault="002174F1" w:rsidP="002174F1">
      <w:pPr>
        <w:rPr>
          <w:iCs/>
        </w:rPr>
      </w:pPr>
      <w:r w:rsidRPr="002174F1">
        <w:rPr>
          <w:b/>
          <w:bCs/>
          <w:iCs/>
        </w:rPr>
        <w:t>Types of Bulk Samples</w:t>
      </w:r>
    </w:p>
    <w:p w:rsidR="002174F1" w:rsidRPr="002174F1" w:rsidRDefault="002174F1" w:rsidP="00380F0A">
      <w:r w:rsidRPr="002174F1">
        <w:rPr>
          <w:u w:val="single"/>
        </w:rPr>
        <w:t>Field Screening</w:t>
      </w:r>
      <w:r w:rsidRPr="002174F1">
        <w:t>: A site may be quickly surveyed to determine whether gross contamination is present in the area. In the field screening mode 14 elements are qualitatively measured and displayed. This mode will give only approximate results.</w:t>
      </w:r>
    </w:p>
    <w:p w:rsidR="002174F1" w:rsidRPr="002174F1" w:rsidRDefault="002174F1" w:rsidP="002174F1"/>
    <w:p w:rsidR="00F475E2" w:rsidRDefault="002174F1" w:rsidP="00380F0A">
      <w:r w:rsidRPr="00F475E2">
        <w:rPr>
          <w:u w:val="single"/>
        </w:rPr>
        <w:t>Testing prepared samples</w:t>
      </w:r>
      <w:r w:rsidR="00F475E2" w:rsidRPr="00F475E2">
        <w:t xml:space="preserve">: </w:t>
      </w:r>
      <w:r w:rsidRPr="002174F1">
        <w:t>Soil samples are collected and returned to the lab for preparation and analysis.</w:t>
      </w:r>
      <w:r w:rsidR="00380F0A">
        <w:tab/>
      </w:r>
      <w:r w:rsidR="00380F0A">
        <w:tab/>
      </w:r>
    </w:p>
    <w:p w:rsidR="00F475E2" w:rsidRDefault="002174F1" w:rsidP="00380F0A">
      <w:pPr>
        <w:numPr>
          <w:ilvl w:val="0"/>
          <w:numId w:val="21"/>
        </w:numPr>
      </w:pPr>
      <w:r w:rsidRPr="002174F1">
        <w:t>A nonmetallic spade is used to collect 50-100 grams of soil sample from the topsoil.</w:t>
      </w:r>
    </w:p>
    <w:p w:rsidR="002174F1" w:rsidRPr="002174F1" w:rsidRDefault="002174F1" w:rsidP="00380F0A">
      <w:pPr>
        <w:numPr>
          <w:ilvl w:val="0"/>
          <w:numId w:val="21"/>
        </w:numPr>
      </w:pPr>
      <w:r w:rsidRPr="002174F1">
        <w:t>Samples are stored in plastic bags</w:t>
      </w:r>
      <w:r w:rsidR="00F475E2">
        <w:t xml:space="preserve">, </w:t>
      </w:r>
      <w:r w:rsidRPr="002174F1">
        <w:t>labeled with the date, the site and the location from where the samples are collected.</w:t>
      </w:r>
    </w:p>
    <w:p w:rsidR="002174F1" w:rsidRPr="002174F1" w:rsidRDefault="002174F1" w:rsidP="00380F0A">
      <w:pPr>
        <w:numPr>
          <w:ilvl w:val="0"/>
          <w:numId w:val="21"/>
        </w:numPr>
      </w:pPr>
      <w:r w:rsidRPr="002174F1">
        <w:t xml:space="preserve">Samples are grinded to make it as fine powder.  </w:t>
      </w:r>
    </w:p>
    <w:p w:rsidR="002174F1" w:rsidRPr="002174F1" w:rsidRDefault="002174F1" w:rsidP="00380F0A">
      <w:pPr>
        <w:numPr>
          <w:ilvl w:val="0"/>
          <w:numId w:val="21"/>
        </w:numPr>
      </w:pPr>
      <w:r w:rsidRPr="002174F1">
        <w:t xml:space="preserve">If the sample is moist, it should be air dried overnight at room temperature. </w:t>
      </w:r>
    </w:p>
    <w:p w:rsidR="002174F1" w:rsidRPr="002174F1" w:rsidRDefault="002174F1" w:rsidP="00380F0A">
      <w:pPr>
        <w:numPr>
          <w:ilvl w:val="0"/>
          <w:numId w:val="21"/>
        </w:numPr>
      </w:pPr>
      <w:r w:rsidRPr="002174F1">
        <w:t xml:space="preserve">Prepared soil samples are placed in a ¼ mil Mylar film sample cup. </w:t>
      </w:r>
    </w:p>
    <w:p w:rsidR="002174F1" w:rsidRPr="002174F1" w:rsidRDefault="002174F1" w:rsidP="00380F0A">
      <w:pPr>
        <w:numPr>
          <w:ilvl w:val="0"/>
          <w:numId w:val="21"/>
        </w:numPr>
      </w:pPr>
      <w:r w:rsidRPr="002174F1">
        <w:t>Polyester fiber is used to closely tighten on the top of the cup to prevent the movement of the sample.</w:t>
      </w:r>
    </w:p>
    <w:p w:rsidR="002174F1" w:rsidRPr="002174F1" w:rsidRDefault="002174F1" w:rsidP="00380F0A">
      <w:pPr>
        <w:numPr>
          <w:ilvl w:val="0"/>
          <w:numId w:val="21"/>
        </w:numPr>
      </w:pPr>
      <w:r w:rsidRPr="002174F1">
        <w:t>A cap is placed at the top of the cup. The cup should be labeled with relevant information such as the sample location, date, and sample number</w:t>
      </w:r>
      <w:r w:rsidR="00941AF8">
        <w:t>.</w:t>
      </w:r>
      <w:r w:rsidRPr="002174F1">
        <w:t xml:space="preserve"> </w:t>
      </w:r>
    </w:p>
    <w:p w:rsidR="002174F1" w:rsidRPr="002174F1" w:rsidRDefault="002174F1" w:rsidP="00380F0A">
      <w:pPr>
        <w:numPr>
          <w:ilvl w:val="0"/>
          <w:numId w:val="21"/>
        </w:numPr>
      </w:pPr>
      <w:r w:rsidRPr="002174F1">
        <w:t>The cup with soil sample in it should then be placed on the soil-testing platform.</w:t>
      </w:r>
    </w:p>
    <w:p w:rsidR="002174F1" w:rsidRPr="002174F1" w:rsidRDefault="00F475E2" w:rsidP="00380F0A">
      <w:pPr>
        <w:numPr>
          <w:ilvl w:val="0"/>
          <w:numId w:val="21"/>
        </w:numPr>
      </w:pPr>
      <w:r>
        <w:t>Place the</w:t>
      </w:r>
      <w:r w:rsidR="002174F1" w:rsidRPr="002174F1">
        <w:t xml:space="preserve"> XRF on top of the platform</w:t>
      </w:r>
      <w:r>
        <w:t xml:space="preserve"> for analysis</w:t>
      </w:r>
      <w:r w:rsidR="002174F1" w:rsidRPr="002174F1">
        <w:t>.</w:t>
      </w:r>
    </w:p>
    <w:p w:rsidR="002174F1" w:rsidRPr="002174F1" w:rsidRDefault="002174F1" w:rsidP="00380F0A">
      <w:pPr>
        <w:numPr>
          <w:ilvl w:val="0"/>
          <w:numId w:val="21"/>
        </w:numPr>
      </w:pPr>
      <w:r w:rsidRPr="002174F1">
        <w:t>Measurement screen will display the readings of the elements.</w:t>
      </w:r>
    </w:p>
    <w:p w:rsidR="002174F1" w:rsidRPr="00F475E2" w:rsidRDefault="002174F1" w:rsidP="00F475E2"/>
    <w:p w:rsidR="00F475E2" w:rsidRPr="00941AF8" w:rsidRDefault="00F475E2" w:rsidP="00F475E2">
      <w:pPr>
        <w:rPr>
          <w:b/>
          <w:iCs/>
        </w:rPr>
      </w:pPr>
      <w:r w:rsidRPr="00941AF8">
        <w:rPr>
          <w:b/>
          <w:bCs/>
          <w:iCs/>
        </w:rPr>
        <w:t>Thin Sample Mode</w:t>
      </w:r>
      <w:r w:rsidR="00941AF8">
        <w:rPr>
          <w:b/>
          <w:bCs/>
          <w:iCs/>
        </w:rPr>
        <w:t>s</w:t>
      </w:r>
    </w:p>
    <w:p w:rsidR="00F475E2" w:rsidRPr="00F475E2" w:rsidRDefault="00F475E2" w:rsidP="00F475E2">
      <w:r w:rsidRPr="00F475E2">
        <w:t>Th</w:t>
      </w:r>
      <w:r w:rsidR="00941AF8">
        <w:t>i</w:t>
      </w:r>
      <w:r w:rsidR="00380F0A">
        <w:t xml:space="preserve">n sample modes </w:t>
      </w:r>
      <w:r w:rsidRPr="00F475E2">
        <w:t>can be used to measure concentrations of contaminants on variety of thin layers, including dust wipes and filters.</w:t>
      </w:r>
    </w:p>
    <w:p w:rsidR="00F475E2" w:rsidRPr="00F475E2" w:rsidRDefault="00F475E2" w:rsidP="00941AF8">
      <w:pPr>
        <w:numPr>
          <w:ilvl w:val="0"/>
          <w:numId w:val="17"/>
        </w:numPr>
      </w:pPr>
      <w:r w:rsidRPr="00F475E2">
        <w:t>37 mm CE Filter Mode</w:t>
      </w:r>
    </w:p>
    <w:p w:rsidR="00F475E2" w:rsidRPr="00F475E2" w:rsidRDefault="00F475E2" w:rsidP="00941AF8">
      <w:pPr>
        <w:numPr>
          <w:ilvl w:val="0"/>
          <w:numId w:val="17"/>
        </w:numPr>
      </w:pPr>
      <w:r w:rsidRPr="00F475E2">
        <w:t>TSP/PM Filter Mode</w:t>
      </w:r>
    </w:p>
    <w:p w:rsidR="00F475E2" w:rsidRPr="00F475E2" w:rsidRDefault="00F475E2" w:rsidP="00941AF8">
      <w:pPr>
        <w:numPr>
          <w:ilvl w:val="0"/>
          <w:numId w:val="17"/>
        </w:numPr>
      </w:pPr>
      <w:r w:rsidRPr="00F475E2">
        <w:t>Dust Wipe Mode</w:t>
      </w:r>
    </w:p>
    <w:p w:rsidR="00F475E2" w:rsidRPr="00F475E2" w:rsidRDefault="00F475E2" w:rsidP="00941AF8">
      <w:pPr>
        <w:numPr>
          <w:ilvl w:val="0"/>
          <w:numId w:val="17"/>
        </w:numPr>
      </w:pPr>
      <w:r w:rsidRPr="00F475E2">
        <w:t>Standard Thin Sample Mode</w:t>
      </w:r>
    </w:p>
    <w:p w:rsidR="00F475E2" w:rsidRPr="00F475E2" w:rsidRDefault="00F475E2" w:rsidP="00941AF8">
      <w:pPr>
        <w:numPr>
          <w:ilvl w:val="0"/>
          <w:numId w:val="17"/>
        </w:numPr>
      </w:pPr>
      <w:r w:rsidRPr="00F475E2">
        <w:t xml:space="preserve">User-Definable Thin Sample Mode </w:t>
      </w:r>
    </w:p>
    <w:p w:rsidR="00F475E2" w:rsidRPr="00F475E2" w:rsidRDefault="00F475E2" w:rsidP="00F475E2"/>
    <w:p w:rsidR="00F475E2" w:rsidRPr="00941AF8" w:rsidRDefault="00F475E2" w:rsidP="00F475E2">
      <w:pPr>
        <w:rPr>
          <w:b/>
          <w:iCs/>
        </w:rPr>
      </w:pPr>
      <w:r w:rsidRPr="00941AF8">
        <w:rPr>
          <w:b/>
          <w:bCs/>
          <w:iCs/>
        </w:rPr>
        <w:t>Paint Mode</w:t>
      </w:r>
    </w:p>
    <w:p w:rsidR="00F475E2" w:rsidRPr="00F475E2" w:rsidRDefault="00F475E2" w:rsidP="00380F0A">
      <w:pPr>
        <w:numPr>
          <w:ilvl w:val="0"/>
          <w:numId w:val="22"/>
        </w:numPr>
      </w:pPr>
      <w:r w:rsidRPr="00F475E2">
        <w:rPr>
          <w:u w:val="single"/>
        </w:rPr>
        <w:t>Standard Paint Mode</w:t>
      </w:r>
      <w:r w:rsidRPr="00F475E2">
        <w:t xml:space="preserve">: In standard mode, the instrument will take readings until 95% confidence reading of positive or negative level is achieved. </w:t>
      </w:r>
    </w:p>
    <w:p w:rsidR="00F475E2" w:rsidRPr="00F475E2" w:rsidRDefault="00F475E2" w:rsidP="00F475E2"/>
    <w:p w:rsidR="00F475E2" w:rsidRPr="00F475E2" w:rsidRDefault="00F475E2" w:rsidP="00380F0A">
      <w:pPr>
        <w:numPr>
          <w:ilvl w:val="0"/>
          <w:numId w:val="22"/>
        </w:numPr>
      </w:pPr>
      <w:r w:rsidRPr="00F475E2">
        <w:rPr>
          <w:u w:val="single"/>
        </w:rPr>
        <w:t>Standard Mode + Spectra</w:t>
      </w:r>
      <w:r w:rsidRPr="00F475E2">
        <w:t>: This mode is similar to Standard paint mode except that the x-ray spectrum is displayed with each reading.</w:t>
      </w:r>
    </w:p>
    <w:p w:rsidR="00F475E2" w:rsidRPr="00F475E2" w:rsidRDefault="00F475E2" w:rsidP="00F475E2"/>
    <w:p w:rsidR="00F475E2" w:rsidRPr="00F475E2" w:rsidRDefault="00F475E2" w:rsidP="00380F0A">
      <w:pPr>
        <w:numPr>
          <w:ilvl w:val="0"/>
          <w:numId w:val="22"/>
        </w:numPr>
      </w:pPr>
      <w:r w:rsidRPr="00F475E2">
        <w:rPr>
          <w:u w:val="single"/>
        </w:rPr>
        <w:t>K&amp;L</w:t>
      </w:r>
      <w:r w:rsidR="00941AF8">
        <w:rPr>
          <w:u w:val="single"/>
        </w:rPr>
        <w:t xml:space="preserve"> </w:t>
      </w:r>
      <w:r w:rsidRPr="00F475E2">
        <w:rPr>
          <w:u w:val="single"/>
        </w:rPr>
        <w:t>+</w:t>
      </w:r>
      <w:r w:rsidR="00941AF8">
        <w:rPr>
          <w:u w:val="single"/>
        </w:rPr>
        <w:t xml:space="preserve"> </w:t>
      </w:r>
      <w:r w:rsidRPr="00F475E2">
        <w:rPr>
          <w:u w:val="single"/>
        </w:rPr>
        <w:t>Spectra Mode</w:t>
      </w:r>
      <w:r w:rsidRPr="00F475E2">
        <w:t>: The instrument will display the complete test information continuously, from the beginning of each reading.</w:t>
      </w:r>
    </w:p>
    <w:p w:rsidR="00F475E2" w:rsidRPr="00F475E2" w:rsidRDefault="00F475E2" w:rsidP="00F475E2">
      <w:pPr>
        <w:ind w:left="150"/>
      </w:pPr>
    </w:p>
    <w:p w:rsidR="00F475E2" w:rsidRPr="00941AF8" w:rsidRDefault="00F475E2" w:rsidP="00F475E2">
      <w:pPr>
        <w:rPr>
          <w:b/>
          <w:bCs/>
          <w:iCs/>
        </w:rPr>
      </w:pPr>
      <w:r w:rsidRPr="00941AF8">
        <w:rPr>
          <w:b/>
          <w:bCs/>
          <w:iCs/>
        </w:rPr>
        <w:t>XRF</w:t>
      </w:r>
      <w:r w:rsidR="00941AF8" w:rsidRPr="00941AF8">
        <w:rPr>
          <w:b/>
          <w:bCs/>
          <w:iCs/>
        </w:rPr>
        <w:t xml:space="preserve"> Approvals</w:t>
      </w:r>
    </w:p>
    <w:p w:rsidR="00F475E2" w:rsidRPr="00F475E2" w:rsidRDefault="00F475E2" w:rsidP="00941AF8">
      <w:pPr>
        <w:numPr>
          <w:ilvl w:val="0"/>
          <w:numId w:val="18"/>
        </w:numPr>
      </w:pPr>
      <w:r w:rsidRPr="00F475E2">
        <w:t>EPA method 6200 for testing soil.</w:t>
      </w:r>
    </w:p>
    <w:p w:rsidR="00F475E2" w:rsidRPr="00F475E2" w:rsidRDefault="00F475E2" w:rsidP="00941AF8">
      <w:pPr>
        <w:numPr>
          <w:ilvl w:val="0"/>
          <w:numId w:val="18"/>
        </w:numPr>
      </w:pPr>
      <w:r w:rsidRPr="00F475E2">
        <w:t>EPA and HUD (Housing and Urban Development)</w:t>
      </w:r>
      <w:r w:rsidR="0078073D">
        <w:t xml:space="preserve"> </w:t>
      </w:r>
      <w:r w:rsidRPr="00F475E2">
        <w:t xml:space="preserve">for testing </w:t>
      </w:r>
      <w:proofErr w:type="spellStart"/>
      <w:r w:rsidR="00941AF8">
        <w:t>Pb</w:t>
      </w:r>
      <w:proofErr w:type="spellEnd"/>
      <w:r w:rsidR="00941AF8">
        <w:t xml:space="preserve"> </w:t>
      </w:r>
      <w:r w:rsidRPr="00F475E2">
        <w:t>paint.</w:t>
      </w:r>
    </w:p>
    <w:p w:rsidR="00F475E2" w:rsidRPr="00F475E2" w:rsidRDefault="00F475E2" w:rsidP="00941AF8">
      <w:pPr>
        <w:numPr>
          <w:ilvl w:val="0"/>
          <w:numId w:val="18"/>
        </w:numPr>
      </w:pPr>
      <w:r w:rsidRPr="00F475E2">
        <w:t>HUD for testing dust samples.</w:t>
      </w:r>
    </w:p>
    <w:p w:rsidR="00F475E2" w:rsidRPr="00F475E2" w:rsidRDefault="00F475E2" w:rsidP="00F475E2"/>
    <w:p w:rsidR="00F475E2" w:rsidRPr="00941AF8" w:rsidRDefault="00F475E2" w:rsidP="00F475E2">
      <w:pPr>
        <w:rPr>
          <w:b/>
          <w:bCs/>
          <w:iCs/>
        </w:rPr>
      </w:pPr>
      <w:r w:rsidRPr="00941AF8">
        <w:rPr>
          <w:b/>
          <w:bCs/>
          <w:iCs/>
        </w:rPr>
        <w:t>Barcode Data Entry</w:t>
      </w:r>
    </w:p>
    <w:p w:rsidR="00941AF8" w:rsidRDefault="00F475E2" w:rsidP="00941AF8">
      <w:pPr>
        <w:numPr>
          <w:ilvl w:val="0"/>
          <w:numId w:val="19"/>
        </w:numPr>
      </w:pPr>
      <w:r w:rsidRPr="00F475E2">
        <w:t>Barcode data can be used to enter test location information and other data electronically.</w:t>
      </w:r>
    </w:p>
    <w:p w:rsidR="00F475E2" w:rsidRPr="00F475E2" w:rsidRDefault="00F475E2" w:rsidP="00941AF8">
      <w:pPr>
        <w:numPr>
          <w:ilvl w:val="0"/>
          <w:numId w:val="19"/>
        </w:numPr>
      </w:pPr>
      <w:r w:rsidRPr="00F475E2">
        <w:t>NITON paint-testing barcode templates</w:t>
      </w:r>
      <w:r w:rsidR="00380F0A">
        <w:t>.</w:t>
      </w:r>
    </w:p>
    <w:p w:rsidR="00F475E2" w:rsidRPr="00F475E2" w:rsidRDefault="00F475E2" w:rsidP="00941AF8">
      <w:pPr>
        <w:numPr>
          <w:ilvl w:val="0"/>
          <w:numId w:val="19"/>
        </w:numPr>
      </w:pPr>
      <w:r w:rsidRPr="00F475E2">
        <w:t>User defined barcode templates</w:t>
      </w:r>
      <w:r w:rsidR="00380F0A">
        <w:t>.</w:t>
      </w:r>
    </w:p>
    <w:p w:rsidR="00941AF8" w:rsidRDefault="00941AF8" w:rsidP="00F475E2">
      <w:pPr>
        <w:rPr>
          <w:bCs/>
          <w:iCs/>
        </w:rPr>
      </w:pPr>
    </w:p>
    <w:p w:rsidR="00F475E2" w:rsidRPr="00941AF8" w:rsidRDefault="00F475E2" w:rsidP="00F475E2">
      <w:pPr>
        <w:rPr>
          <w:b/>
          <w:iCs/>
        </w:rPr>
      </w:pPr>
      <w:smartTag w:uri="urn:schemas-microsoft-com:office:smarttags" w:element="place">
        <w:r w:rsidRPr="00941AF8">
          <w:rPr>
            <w:b/>
            <w:bCs/>
            <w:iCs/>
          </w:rPr>
          <w:t>Battery</w:t>
        </w:r>
      </w:smartTag>
      <w:r w:rsidRPr="00941AF8">
        <w:rPr>
          <w:b/>
          <w:bCs/>
          <w:iCs/>
        </w:rPr>
        <w:t xml:space="preserve"> Packs</w:t>
      </w:r>
    </w:p>
    <w:p w:rsidR="00F475E2" w:rsidRPr="00F475E2" w:rsidRDefault="00F475E2" w:rsidP="00941AF8">
      <w:pPr>
        <w:numPr>
          <w:ilvl w:val="0"/>
          <w:numId w:val="20"/>
        </w:numPr>
      </w:pPr>
      <w:r w:rsidRPr="00F475E2">
        <w:t xml:space="preserve">Fully charged nickel metal hydride battery pack gives eight or more hours of continuous use. </w:t>
      </w:r>
    </w:p>
    <w:p w:rsidR="00F475E2" w:rsidRDefault="00F475E2" w:rsidP="00941AF8">
      <w:pPr>
        <w:numPr>
          <w:ilvl w:val="0"/>
          <w:numId w:val="20"/>
        </w:numPr>
      </w:pPr>
      <w:smartTag w:uri="urn:schemas-microsoft-com:office:smarttags" w:element="place">
        <w:r w:rsidRPr="00F475E2">
          <w:t>Battery</w:t>
        </w:r>
      </w:smartTag>
      <w:r w:rsidRPr="00F475E2">
        <w:t xml:space="preserve"> packs can be recharged at least 500 times.</w:t>
      </w:r>
    </w:p>
    <w:p w:rsidR="00941AF8" w:rsidRDefault="00941AF8" w:rsidP="00941AF8">
      <w:pPr>
        <w:numPr>
          <w:ilvl w:val="0"/>
          <w:numId w:val="20"/>
        </w:numPr>
      </w:pPr>
      <w:r>
        <w:t>Discharge batteries before charging</w:t>
      </w:r>
      <w:r w:rsidR="0078073D">
        <w:t>.</w:t>
      </w:r>
    </w:p>
    <w:p w:rsidR="006648EC" w:rsidRPr="00F475E2" w:rsidRDefault="00941AF8" w:rsidP="00F475E2">
      <w:pPr>
        <w:numPr>
          <w:ilvl w:val="0"/>
          <w:numId w:val="20"/>
        </w:numPr>
      </w:pPr>
      <w:r>
        <w:t>Charge batteries overnight, but do not overcharge.</w:t>
      </w:r>
    </w:p>
    <w:p w:rsidR="006D7D60" w:rsidRDefault="006D7D60" w:rsidP="006D7D60">
      <w:pPr>
        <w:ind w:left="1080"/>
      </w:pPr>
    </w:p>
    <w:p w:rsidR="006D7D60" w:rsidRDefault="006D7D60" w:rsidP="006D7D60">
      <w:pPr>
        <w:rPr>
          <w:b/>
        </w:rPr>
      </w:pPr>
      <w:r>
        <w:rPr>
          <w:b/>
        </w:rPr>
        <w:t>Studies</w:t>
      </w:r>
      <w:r w:rsidR="0015580D">
        <w:rPr>
          <w:b/>
        </w:rPr>
        <w:t xml:space="preserve"> using XRF</w:t>
      </w:r>
    </w:p>
    <w:p w:rsidR="00BF04A5" w:rsidRDefault="006D7D60" w:rsidP="00380F0A">
      <w:pPr>
        <w:numPr>
          <w:ilvl w:val="0"/>
          <w:numId w:val="23"/>
        </w:numPr>
      </w:pPr>
      <w:r>
        <w:t>C</w:t>
      </w:r>
      <w:r w:rsidR="007072FB">
        <w:t>ompar</w:t>
      </w:r>
      <w:r w:rsidR="00C6789C">
        <w:t xml:space="preserve">ison </w:t>
      </w:r>
      <w:r w:rsidR="0078073D">
        <w:t>elemental analytical results of XRF [NIOSH Method 7702 (NIOSH, 1998)] to that of ICP [NIOSH Method 7300 (NIOSH, 1994)]. Air samples</w:t>
      </w:r>
      <w:r w:rsidR="0015580D">
        <w:t>, c</w:t>
      </w:r>
      <w:r w:rsidR="0078073D">
        <w:t xml:space="preserve">ollected on 37 mm, 0.8 </w:t>
      </w:r>
      <w:r w:rsidR="00B335A4">
        <w:t>µ</w:t>
      </w:r>
      <w:r w:rsidR="0078073D">
        <w:t>m, cellulose ester membrane filters</w:t>
      </w:r>
      <w:r w:rsidR="007072FB">
        <w:t xml:space="preserve">, </w:t>
      </w:r>
      <w:r w:rsidR="0078073D">
        <w:t>analyzed by XRF, then digested with concentrated nitric acid and analyzed by ICP, allowing direct comparison o</w:t>
      </w:r>
      <w:r w:rsidR="00BF04A5">
        <w:t>f the two instrumental methods.</w:t>
      </w:r>
    </w:p>
    <w:p w:rsidR="00BF04A5" w:rsidRDefault="00BF04A5" w:rsidP="006D7D60">
      <w:pPr>
        <w:numPr>
          <w:ilvl w:val="0"/>
          <w:numId w:val="2"/>
        </w:numPr>
      </w:pPr>
      <w:r>
        <w:t xml:space="preserve">Comparative studies of </w:t>
      </w:r>
      <w:r w:rsidR="0078073D">
        <w:t>XRF analysis of dust wipe samples for removable contamination</w:t>
      </w:r>
      <w:r>
        <w:t xml:space="preserve"> to that </w:t>
      </w:r>
      <w:r w:rsidR="006D7D60">
        <w:t>o</w:t>
      </w:r>
      <w:r>
        <w:t>f ICP</w:t>
      </w:r>
      <w:r w:rsidR="0078073D">
        <w:t>. This procedure follows ASTM Method 1728-95 (NITON, 2000), where 100 cm</w:t>
      </w:r>
      <w:r w:rsidR="0078073D">
        <w:rPr>
          <w:vertAlign w:val="superscript"/>
        </w:rPr>
        <w:t>2</w:t>
      </w:r>
      <w:r w:rsidR="0078073D">
        <w:t xml:space="preserve"> of surface is wiped with a filter pad containing solvent. These wipes could also be acid digested and analyzed by ICP for comparative purposes.</w:t>
      </w:r>
    </w:p>
    <w:p w:rsidR="0078073D" w:rsidRDefault="00BF04A5" w:rsidP="006D7D60">
      <w:pPr>
        <w:numPr>
          <w:ilvl w:val="0"/>
          <w:numId w:val="2"/>
        </w:numPr>
      </w:pPr>
      <w:r>
        <w:t>U</w:t>
      </w:r>
      <w:r w:rsidR="0078073D">
        <w:t xml:space="preserve">se </w:t>
      </w:r>
      <w:r w:rsidR="00380F0A">
        <w:t xml:space="preserve">of </w:t>
      </w:r>
      <w:r w:rsidR="0078073D">
        <w:t xml:space="preserve">XRF to analyze painted surfaces for lead </w:t>
      </w:r>
      <w:r w:rsidR="006D7D60">
        <w:t>and other elements</w:t>
      </w:r>
      <w:r w:rsidR="0078073D">
        <w:t xml:space="preserve"> (NITON, 2000b).</w:t>
      </w:r>
    </w:p>
    <w:p w:rsidR="0064301D" w:rsidRDefault="0064301D" w:rsidP="006D7D60">
      <w:pPr>
        <w:numPr>
          <w:ilvl w:val="0"/>
          <w:numId w:val="2"/>
        </w:numPr>
      </w:pPr>
      <w:r>
        <w:t>Elements in playgrounds.</w:t>
      </w:r>
    </w:p>
    <w:p w:rsidR="0064301D" w:rsidRDefault="0064301D" w:rsidP="006D7D60">
      <w:pPr>
        <w:numPr>
          <w:ilvl w:val="0"/>
          <w:numId w:val="2"/>
        </w:numPr>
      </w:pPr>
      <w:r>
        <w:t>Lead and other metals in pottery.</w:t>
      </w:r>
    </w:p>
    <w:p w:rsidR="006D7D60" w:rsidRDefault="006D7D60" w:rsidP="006D7D60">
      <w:pPr>
        <w:ind w:left="360"/>
      </w:pPr>
    </w:p>
    <w:p w:rsidR="00BF04A5" w:rsidRDefault="00BF04A5" w:rsidP="006D7D60">
      <w:pPr>
        <w:rPr>
          <w:b/>
        </w:rPr>
      </w:pPr>
      <w:r w:rsidRPr="006D7D60">
        <w:rPr>
          <w:b/>
        </w:rPr>
        <w:t>Industries or trades for study</w:t>
      </w:r>
    </w:p>
    <w:p w:rsidR="00BF04A5" w:rsidRDefault="00571BAB" w:rsidP="006D7D60">
      <w:pPr>
        <w:numPr>
          <w:ilvl w:val="0"/>
          <w:numId w:val="3"/>
        </w:numPr>
      </w:pPr>
      <w:r>
        <w:t>S</w:t>
      </w:r>
      <w:r w:rsidR="0078073D">
        <w:t>mall business operations that are essentially unprotected by health and safety regulations, and lack programs designed to protect worker health.</w:t>
      </w:r>
    </w:p>
    <w:p w:rsidR="00BF04A5" w:rsidRDefault="0078073D" w:rsidP="006D7D60">
      <w:pPr>
        <w:numPr>
          <w:ilvl w:val="0"/>
          <w:numId w:val="3"/>
        </w:numPr>
      </w:pPr>
      <w:r>
        <w:t>Examples: auto repair, paint shops, metal works, print shops, wood working, electroplating, ceramics, photo processing, asphalt and tar works.</w:t>
      </w:r>
    </w:p>
    <w:p w:rsidR="006169FD" w:rsidRPr="006169FD" w:rsidRDefault="006169FD" w:rsidP="006169FD">
      <w:pPr>
        <w:ind w:left="360"/>
        <w:rPr>
          <w:b/>
        </w:rPr>
      </w:pPr>
    </w:p>
    <w:p w:rsidR="00BF04A5" w:rsidRDefault="00BF04A5" w:rsidP="006D7D60">
      <w:pPr>
        <w:rPr>
          <w:b/>
        </w:rPr>
      </w:pPr>
      <w:r w:rsidRPr="006169FD">
        <w:rPr>
          <w:b/>
        </w:rPr>
        <w:t>Protocol</w:t>
      </w:r>
    </w:p>
    <w:p w:rsidR="0078073D" w:rsidRDefault="00A17692" w:rsidP="006169FD">
      <w:r>
        <w:t>A</w:t>
      </w:r>
      <w:r w:rsidR="0078073D">
        <w:t xml:space="preserve"> literature search</w:t>
      </w:r>
      <w:r>
        <w:t xml:space="preserve"> and </w:t>
      </w:r>
      <w:r w:rsidR="0078073D">
        <w:t>preliminary field survey</w:t>
      </w:r>
      <w:r>
        <w:t xml:space="preserve"> would be conducted followed by sampling </w:t>
      </w:r>
      <w:r w:rsidR="0078073D">
        <w:t xml:space="preserve">for </w:t>
      </w:r>
      <w:r>
        <w:t xml:space="preserve">elemental </w:t>
      </w:r>
      <w:r w:rsidR="0078073D">
        <w:t>hazards hypothesized to be present using XRF. Since the XRF may detect and quantify 24 different elements, some previously unrecognized hazards may be identified. The data collected will be compared with health standards for evaluation of health significance. If multiple contaminants are simultaneously identified and quantified, a toxicity index can be used that considers the additive effects of all components found in the sample.</w:t>
      </w:r>
    </w:p>
    <w:p w:rsidR="006169FD" w:rsidRDefault="006169FD" w:rsidP="006169FD"/>
    <w:p w:rsidR="0078073D" w:rsidRDefault="0078073D" w:rsidP="006169FD">
      <w:r>
        <w:t xml:space="preserve">XRF complements ICP. They both simultaneously measure many elements, but the sample preparation and detection limits are quite different, hence they will have different applications. </w:t>
      </w:r>
    </w:p>
    <w:p w:rsidR="00A17692" w:rsidRDefault="00A17692" w:rsidP="006D7D60">
      <w:pPr>
        <w:pStyle w:val="BodyTextIndent"/>
        <w:spacing w:line="240" w:lineRule="auto"/>
        <w:outlineLvl w:val="9"/>
      </w:pPr>
    </w:p>
    <w:p w:rsidR="0078073D" w:rsidRDefault="0078073D">
      <w:pPr>
        <w:pStyle w:val="Heading2"/>
      </w:pPr>
      <w:r>
        <w:t>References</w:t>
      </w:r>
    </w:p>
    <w:p w:rsidR="0078073D" w:rsidRDefault="0078073D">
      <w:proofErr w:type="gramStart"/>
      <w:r>
        <w:t>Clark, S., Menrath, W., Chen, M., Roda, S., and Succop, P. (1999).</w:t>
      </w:r>
      <w:proofErr w:type="gramEnd"/>
      <w:r>
        <w:t xml:space="preserve"> </w:t>
      </w:r>
      <w:proofErr w:type="gramStart"/>
      <w:r>
        <w:t>Use of a Field Portable X-Ray Fluorescence Analyzer to Determine the Concentration of Lead and Other Metals in Soil Samples.</w:t>
      </w:r>
      <w:proofErr w:type="gramEnd"/>
      <w:r>
        <w:t xml:space="preserve"> </w:t>
      </w:r>
      <w:r>
        <w:rPr>
          <w:u w:val="single"/>
        </w:rPr>
        <w:t>Ann. Agric. Environ. Med</w:t>
      </w:r>
      <w:r>
        <w:t>. 6, 1-6.</w:t>
      </w:r>
    </w:p>
    <w:p w:rsidR="0078073D" w:rsidRDefault="0078073D"/>
    <w:p w:rsidR="0078073D" w:rsidRDefault="0078073D">
      <w:proofErr w:type="gramStart"/>
      <w:r>
        <w:t>EPA (1996).</w:t>
      </w:r>
      <w:proofErr w:type="gramEnd"/>
      <w:r>
        <w:t xml:space="preserve"> </w:t>
      </w:r>
      <w:proofErr w:type="gramStart"/>
      <w:r>
        <w:t>Standard Operation Procedure for Elemental Analysis Using the X-MET 920 Field X-Ray Fluorescence Analyzer.</w:t>
      </w:r>
      <w:proofErr w:type="gramEnd"/>
      <w:r>
        <w:t xml:space="preserve"> </w:t>
      </w:r>
      <w:proofErr w:type="gramStart"/>
      <w:r>
        <w:t>U.S. EPA-New England.</w:t>
      </w:r>
      <w:proofErr w:type="gramEnd"/>
    </w:p>
    <w:p w:rsidR="0078073D" w:rsidRDefault="0078073D"/>
    <w:p w:rsidR="0078073D" w:rsidRDefault="0078073D">
      <w:proofErr w:type="gramStart"/>
      <w:r>
        <w:t>EPA/HUD (1998).</w:t>
      </w:r>
      <w:proofErr w:type="gramEnd"/>
      <w:r>
        <w:t xml:space="preserve"> Method 6200, Field Portable X-Ray Fluorescence Spectrometry for the Determination of Elemental Concentrations in Soil and Sediment. </w:t>
      </w:r>
      <w:proofErr w:type="gramStart"/>
      <w:r>
        <w:t>Online at www.niton.com/meth6200.html.</w:t>
      </w:r>
      <w:proofErr w:type="gramEnd"/>
    </w:p>
    <w:p w:rsidR="0078073D" w:rsidRDefault="0078073D">
      <w:pPr>
        <w:pStyle w:val="Footer"/>
        <w:tabs>
          <w:tab w:val="clear" w:pos="4320"/>
          <w:tab w:val="clear" w:pos="8640"/>
        </w:tabs>
        <w:rPr>
          <w:snapToGrid w:val="0"/>
        </w:rPr>
      </w:pPr>
    </w:p>
    <w:p w:rsidR="0078073D" w:rsidRDefault="0078073D">
      <w:pPr>
        <w:pStyle w:val="Footer"/>
        <w:tabs>
          <w:tab w:val="clear" w:pos="4320"/>
          <w:tab w:val="clear" w:pos="8640"/>
        </w:tabs>
        <w:rPr>
          <w:snapToGrid w:val="0"/>
        </w:rPr>
      </w:pPr>
      <w:r>
        <w:rPr>
          <w:snapToGrid w:val="0"/>
        </w:rPr>
        <w:t xml:space="preserve">Morley, J. C. (1997). </w:t>
      </w:r>
      <w:proofErr w:type="gramStart"/>
      <w:r>
        <w:rPr>
          <w:snapToGrid w:val="0"/>
        </w:rPr>
        <w:t>Evaluation of a Portable X-Ray Fluorescence Instrument for the Determination of Lead in Workplace Air Samples (Thesis).</w:t>
      </w:r>
      <w:proofErr w:type="gramEnd"/>
      <w:r>
        <w:rPr>
          <w:snapToGrid w:val="0"/>
        </w:rPr>
        <w:t xml:space="preserve"> </w:t>
      </w:r>
      <w:smartTag w:uri="urn:schemas-microsoft-com:office:smarttags" w:element="City">
        <w:r>
          <w:rPr>
            <w:snapToGrid w:val="0"/>
          </w:rPr>
          <w:t>Cincinnati</w:t>
        </w:r>
      </w:smartTag>
      <w:r>
        <w:rPr>
          <w:snapToGrid w:val="0"/>
        </w:rPr>
        <w:t xml:space="preserve">, </w:t>
      </w:r>
      <w:smartTag w:uri="urn:schemas-microsoft-com:office:smarttags" w:element="State">
        <w:r>
          <w:rPr>
            <w:snapToGrid w:val="0"/>
          </w:rPr>
          <w:t>OH</w:t>
        </w:r>
      </w:smartTag>
      <w:r>
        <w:rPr>
          <w:snapToGrid w:val="0"/>
        </w:rPr>
        <w:t xml:space="preserv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Cincinnati</w:t>
          </w:r>
        </w:smartTag>
      </w:smartTag>
      <w:r>
        <w:rPr>
          <w:snapToGrid w:val="0"/>
        </w:rPr>
        <w:t>, Department of Environmental Health, College of Medicine.</w:t>
      </w:r>
    </w:p>
    <w:p w:rsidR="0078073D" w:rsidRDefault="0078073D">
      <w:pPr>
        <w:pStyle w:val="Footer"/>
        <w:tabs>
          <w:tab w:val="clear" w:pos="4320"/>
          <w:tab w:val="clear" w:pos="8640"/>
        </w:tabs>
        <w:rPr>
          <w:snapToGrid w:val="0"/>
        </w:rPr>
      </w:pPr>
    </w:p>
    <w:p w:rsidR="0078073D" w:rsidRDefault="0078073D">
      <w:proofErr w:type="gramStart"/>
      <w:r>
        <w:t>NIOSH (1994).</w:t>
      </w:r>
      <w:proofErr w:type="gramEnd"/>
      <w:r>
        <w:t xml:space="preserve"> Elements: Method 7300. </w:t>
      </w:r>
      <w:proofErr w:type="gramStart"/>
      <w:r>
        <w:t>NIOSH Manual of Analytical Methods, 4</w:t>
      </w:r>
      <w:r>
        <w:rPr>
          <w:vertAlign w:val="superscript"/>
        </w:rPr>
        <w:t>th</w:t>
      </w:r>
      <w:r>
        <w:t xml:space="preserve"> ed. Cincinnati, OH.</w:t>
      </w:r>
      <w:proofErr w:type="gramEnd"/>
      <w:r>
        <w:t xml:space="preserve"> DHHS/NIOSH Publication No. 94-113.</w:t>
      </w:r>
    </w:p>
    <w:p w:rsidR="0078073D" w:rsidRDefault="0078073D">
      <w:pPr>
        <w:pStyle w:val="Footer"/>
        <w:tabs>
          <w:tab w:val="clear" w:pos="4320"/>
          <w:tab w:val="clear" w:pos="8640"/>
        </w:tabs>
        <w:rPr>
          <w:snapToGrid w:val="0"/>
        </w:rPr>
      </w:pPr>
    </w:p>
    <w:p w:rsidR="0078073D" w:rsidRDefault="0078073D">
      <w:proofErr w:type="gramStart"/>
      <w:r>
        <w:t>NIOSH (1998).</w:t>
      </w:r>
      <w:proofErr w:type="gramEnd"/>
      <w:r>
        <w:t xml:space="preserve"> Lead by Field Portable XRF: Method 7702. </w:t>
      </w:r>
      <w:proofErr w:type="gramStart"/>
      <w:r>
        <w:t>NIOSH Manual of Analytical Methods, 4</w:t>
      </w:r>
      <w:r>
        <w:rPr>
          <w:vertAlign w:val="superscript"/>
        </w:rPr>
        <w:t>th</w:t>
      </w:r>
      <w:r>
        <w:t xml:space="preserve"> ed. Cincinnati, OH.</w:t>
      </w:r>
      <w:proofErr w:type="gramEnd"/>
      <w:r>
        <w:t xml:space="preserve"> DHHS/NIOSH Publication No. 98-119.</w:t>
      </w:r>
    </w:p>
    <w:p w:rsidR="0078073D" w:rsidRDefault="0078073D"/>
    <w:p w:rsidR="0078073D" w:rsidRDefault="0078073D">
      <w:proofErr w:type="gramStart"/>
      <w:r>
        <w:t>NITON (1998).</w:t>
      </w:r>
      <w:proofErr w:type="gramEnd"/>
      <w:r>
        <w:t xml:space="preserve"> </w:t>
      </w:r>
      <w:proofErr w:type="gramStart"/>
      <w:r>
        <w:t>NITON Model 702 Multi Element Bulk Sample Analyzer.</w:t>
      </w:r>
      <w:proofErr w:type="gramEnd"/>
      <w:r>
        <w:t xml:space="preserve"> www.niton.com/dustwipes.html.</w:t>
      </w:r>
    </w:p>
    <w:p w:rsidR="0078073D" w:rsidRDefault="0078073D"/>
    <w:p w:rsidR="0078073D" w:rsidRDefault="0078073D">
      <w:proofErr w:type="gramStart"/>
      <w:r>
        <w:t>NITON (2000a).</w:t>
      </w:r>
      <w:proofErr w:type="gramEnd"/>
      <w:r>
        <w:t xml:space="preserve"> NITON XRF Lead in Dust Wipe Analysis. www.niton.com/meth6200.html.</w:t>
      </w:r>
    </w:p>
    <w:p w:rsidR="0078073D" w:rsidRDefault="0078073D"/>
    <w:p w:rsidR="0078073D" w:rsidRDefault="0078073D">
      <w:proofErr w:type="gramStart"/>
      <w:r>
        <w:t>NITON (2000b).</w:t>
      </w:r>
      <w:proofErr w:type="gramEnd"/>
      <w:r>
        <w:t xml:space="preserve"> </w:t>
      </w:r>
      <w:proofErr w:type="gramStart"/>
      <w:r>
        <w:t>NITON Multi-Source XRF Spectrum Analyzers.</w:t>
      </w:r>
      <w:proofErr w:type="gramEnd"/>
      <w:r>
        <w:t xml:space="preserve"> www.niton.com/multi-source.html.</w:t>
      </w:r>
    </w:p>
    <w:p w:rsidR="0078073D" w:rsidRDefault="0078073D"/>
    <w:p w:rsidR="0078073D" w:rsidRDefault="0078073D">
      <w:r>
        <w:t>Martin</w:t>
      </w:r>
      <w:proofErr w:type="gramStart"/>
      <w:r>
        <w:t>,K</w:t>
      </w:r>
      <w:proofErr w:type="gramEnd"/>
      <w:r>
        <w:t xml:space="preserve">., and Pesce, J. (1997). </w:t>
      </w:r>
      <w:proofErr w:type="gramStart"/>
      <w:r>
        <w:t>NITON XL Training Curriculum.</w:t>
      </w:r>
      <w:proofErr w:type="gramEnd"/>
      <w:r>
        <w:t xml:space="preserve"> </w:t>
      </w:r>
      <w:proofErr w:type="gramStart"/>
      <w:r>
        <w:t>NITON, Bedford, MA.</w:t>
      </w:r>
      <w:proofErr w:type="gramEnd"/>
    </w:p>
    <w:p w:rsidR="0078073D" w:rsidRDefault="0078073D"/>
    <w:p w:rsidR="0078073D" w:rsidRDefault="0078073D">
      <w:proofErr w:type="gramStart"/>
      <w:r>
        <w:t>Reames, G. and Lance, L. (2000).</w:t>
      </w:r>
      <w:proofErr w:type="gramEnd"/>
      <w:r>
        <w:t xml:space="preserve"> </w:t>
      </w:r>
      <w:proofErr w:type="gramStart"/>
      <w:r>
        <w:t>An Evaluation of the NITON X-Ray Fluorescence Instrument for Measuring Lead in Soil.</w:t>
      </w:r>
      <w:proofErr w:type="gramEnd"/>
      <w:r>
        <w:t xml:space="preserve"> </w:t>
      </w:r>
      <w:proofErr w:type="gramStart"/>
      <w:r>
        <w:t xml:space="preserve">Presented at the </w:t>
      </w:r>
      <w:r>
        <w:rPr>
          <w:u w:val="single"/>
        </w:rPr>
        <w:t>American Industrial Hygiene Conference and Exposition</w:t>
      </w:r>
      <w:r>
        <w:t>, Abstract No. 74, May 20-25.</w:t>
      </w:r>
      <w:proofErr w:type="gramEnd"/>
    </w:p>
    <w:p w:rsidR="009456D2" w:rsidRPr="009456D2" w:rsidRDefault="009456D2" w:rsidP="009456D2">
      <w:pPr>
        <w:tabs>
          <w:tab w:val="left" w:pos="-1440"/>
        </w:tabs>
        <w:ind w:left="720" w:hanging="720"/>
        <w:jc w:val="center"/>
        <w:rPr>
          <w:b/>
          <w:sz w:val="32"/>
          <w:szCs w:val="32"/>
        </w:rPr>
      </w:pPr>
      <w:r>
        <w:br w:type="page"/>
      </w:r>
      <w:r w:rsidRPr="009456D2">
        <w:rPr>
          <w:b/>
          <w:sz w:val="32"/>
          <w:szCs w:val="32"/>
        </w:rPr>
        <w:t>Questions</w:t>
      </w:r>
    </w:p>
    <w:p w:rsidR="009456D2" w:rsidRDefault="009456D2" w:rsidP="009456D2">
      <w:pPr>
        <w:tabs>
          <w:tab w:val="left" w:pos="-1440"/>
        </w:tabs>
        <w:ind w:left="720" w:hanging="720"/>
      </w:pPr>
    </w:p>
    <w:p w:rsidR="002D5580" w:rsidRDefault="002D5580" w:rsidP="009456D2">
      <w:pPr>
        <w:numPr>
          <w:ilvl w:val="0"/>
          <w:numId w:val="24"/>
        </w:numPr>
        <w:tabs>
          <w:tab w:val="left" w:pos="-1440"/>
        </w:tabs>
        <w:rPr>
          <w:rFonts w:ascii="Courier New" w:hAnsi="Courier New" w:cs="Courier New"/>
          <w:szCs w:val="24"/>
        </w:rPr>
      </w:pPr>
      <w:r>
        <w:rPr>
          <w:rFonts w:ascii="Courier New" w:hAnsi="Courier New" w:cs="Courier New"/>
          <w:szCs w:val="24"/>
        </w:rPr>
        <w:t>What is XRF and how is it used?</w:t>
      </w:r>
    </w:p>
    <w:p w:rsidR="002D5580" w:rsidRDefault="002D5580" w:rsidP="002D5580">
      <w:pPr>
        <w:tabs>
          <w:tab w:val="left" w:pos="-1440"/>
        </w:tabs>
        <w:ind w:left="720"/>
        <w:rPr>
          <w:rFonts w:ascii="Courier New" w:hAnsi="Courier New" w:cs="Courier New"/>
          <w:szCs w:val="24"/>
        </w:rPr>
      </w:pPr>
    </w:p>
    <w:p w:rsidR="002D5580" w:rsidRDefault="002D5580" w:rsidP="002D5580">
      <w:pPr>
        <w:tabs>
          <w:tab w:val="left" w:pos="-1440"/>
        </w:tabs>
        <w:ind w:left="720"/>
        <w:rPr>
          <w:rFonts w:ascii="Courier New" w:hAnsi="Courier New" w:cs="Courier New"/>
          <w:szCs w:val="24"/>
        </w:rPr>
      </w:pPr>
    </w:p>
    <w:p w:rsidR="002D5580" w:rsidRDefault="002D5580" w:rsidP="002D5580">
      <w:pPr>
        <w:tabs>
          <w:tab w:val="left" w:pos="-1440"/>
        </w:tabs>
        <w:ind w:left="720"/>
        <w:rPr>
          <w:rFonts w:ascii="Courier New" w:hAnsi="Courier New" w:cs="Courier New"/>
          <w:szCs w:val="24"/>
        </w:rPr>
      </w:pPr>
    </w:p>
    <w:p w:rsidR="002D5580" w:rsidRDefault="002D5580" w:rsidP="002D5580">
      <w:pPr>
        <w:tabs>
          <w:tab w:val="left" w:pos="-1440"/>
        </w:tabs>
        <w:ind w:left="720"/>
        <w:rPr>
          <w:rFonts w:ascii="Courier New" w:hAnsi="Courier New" w:cs="Courier New"/>
          <w:szCs w:val="24"/>
        </w:rPr>
      </w:pPr>
    </w:p>
    <w:p w:rsidR="002D5580" w:rsidRDefault="002D5580" w:rsidP="009456D2">
      <w:pPr>
        <w:numPr>
          <w:ilvl w:val="0"/>
          <w:numId w:val="24"/>
        </w:numPr>
        <w:tabs>
          <w:tab w:val="left" w:pos="-1440"/>
        </w:tabs>
        <w:rPr>
          <w:rFonts w:ascii="Courier New" w:hAnsi="Courier New" w:cs="Courier New"/>
          <w:szCs w:val="24"/>
        </w:rPr>
      </w:pPr>
      <w:r>
        <w:rPr>
          <w:rFonts w:ascii="Courier New" w:hAnsi="Courier New" w:cs="Courier New"/>
          <w:szCs w:val="24"/>
        </w:rPr>
        <w:t>What is the p</w:t>
      </w:r>
      <w:r w:rsidR="009456D2" w:rsidRPr="009503A9">
        <w:rPr>
          <w:rFonts w:ascii="Courier New" w:hAnsi="Courier New" w:cs="Courier New"/>
          <w:szCs w:val="24"/>
        </w:rPr>
        <w:t>rinciple of operation</w:t>
      </w:r>
      <w:r>
        <w:rPr>
          <w:rFonts w:ascii="Courier New" w:hAnsi="Courier New" w:cs="Courier New"/>
          <w:szCs w:val="24"/>
        </w:rPr>
        <w:t xml:space="preserve"> of the XRF?</w:t>
      </w:r>
    </w:p>
    <w:p w:rsidR="002D5580" w:rsidRDefault="002D5580" w:rsidP="002D5580">
      <w:pPr>
        <w:tabs>
          <w:tab w:val="left" w:pos="-1440"/>
        </w:tabs>
        <w:ind w:left="720"/>
        <w:rPr>
          <w:rFonts w:ascii="Courier New" w:hAnsi="Courier New" w:cs="Courier New"/>
          <w:szCs w:val="24"/>
        </w:rPr>
      </w:pPr>
    </w:p>
    <w:p w:rsidR="002D5580" w:rsidRDefault="002D5580" w:rsidP="002D5580">
      <w:pPr>
        <w:tabs>
          <w:tab w:val="left" w:pos="-1440"/>
        </w:tabs>
        <w:ind w:left="720"/>
        <w:rPr>
          <w:rFonts w:ascii="Courier New" w:hAnsi="Courier New" w:cs="Courier New"/>
          <w:szCs w:val="24"/>
        </w:rPr>
      </w:pPr>
    </w:p>
    <w:p w:rsidR="002D5580" w:rsidRDefault="002D5580" w:rsidP="002D5580">
      <w:pPr>
        <w:tabs>
          <w:tab w:val="left" w:pos="-1440"/>
        </w:tabs>
        <w:ind w:left="720"/>
        <w:rPr>
          <w:rFonts w:ascii="Courier New" w:hAnsi="Courier New" w:cs="Courier New"/>
          <w:szCs w:val="24"/>
        </w:rPr>
      </w:pPr>
    </w:p>
    <w:p w:rsidR="002D5580" w:rsidRDefault="002D5580" w:rsidP="002D5580">
      <w:pPr>
        <w:tabs>
          <w:tab w:val="left" w:pos="-1440"/>
        </w:tabs>
        <w:ind w:left="720"/>
        <w:rPr>
          <w:rFonts w:ascii="Courier New" w:hAnsi="Courier New" w:cs="Courier New"/>
          <w:szCs w:val="24"/>
        </w:rPr>
      </w:pPr>
    </w:p>
    <w:p w:rsidR="002D5580" w:rsidRDefault="002D5580" w:rsidP="002D5580">
      <w:pPr>
        <w:tabs>
          <w:tab w:val="left" w:pos="-1440"/>
        </w:tabs>
        <w:ind w:left="720"/>
        <w:rPr>
          <w:rFonts w:ascii="Courier New" w:hAnsi="Courier New" w:cs="Courier New"/>
          <w:szCs w:val="24"/>
        </w:rPr>
      </w:pPr>
    </w:p>
    <w:p w:rsidR="002D5580" w:rsidRDefault="002D5580" w:rsidP="009456D2">
      <w:pPr>
        <w:numPr>
          <w:ilvl w:val="0"/>
          <w:numId w:val="24"/>
        </w:numPr>
        <w:tabs>
          <w:tab w:val="left" w:pos="-1440"/>
        </w:tabs>
        <w:rPr>
          <w:rFonts w:ascii="Courier New" w:hAnsi="Courier New" w:cs="Courier New"/>
          <w:szCs w:val="24"/>
        </w:rPr>
      </w:pPr>
      <w:r>
        <w:rPr>
          <w:rFonts w:ascii="Courier New" w:hAnsi="Courier New" w:cs="Courier New"/>
          <w:szCs w:val="24"/>
        </w:rPr>
        <w:t>How are samples collected and prepared for analysis?</w:t>
      </w:r>
    </w:p>
    <w:p w:rsidR="002D5580" w:rsidRDefault="002D5580" w:rsidP="002D5580">
      <w:pPr>
        <w:tabs>
          <w:tab w:val="left" w:pos="-1440"/>
        </w:tabs>
        <w:ind w:left="720"/>
        <w:rPr>
          <w:rFonts w:ascii="Courier New" w:hAnsi="Courier New" w:cs="Courier New"/>
          <w:szCs w:val="24"/>
        </w:rPr>
      </w:pPr>
    </w:p>
    <w:p w:rsidR="002D5580" w:rsidRDefault="002D5580" w:rsidP="002D5580">
      <w:pPr>
        <w:tabs>
          <w:tab w:val="left" w:pos="-1440"/>
        </w:tabs>
        <w:ind w:left="720"/>
        <w:rPr>
          <w:rFonts w:ascii="Courier New" w:hAnsi="Courier New" w:cs="Courier New"/>
          <w:szCs w:val="24"/>
        </w:rPr>
      </w:pPr>
    </w:p>
    <w:p w:rsidR="002D5580" w:rsidRDefault="002D5580" w:rsidP="002D5580">
      <w:pPr>
        <w:tabs>
          <w:tab w:val="left" w:pos="-1440"/>
        </w:tabs>
        <w:ind w:left="720"/>
        <w:rPr>
          <w:rFonts w:ascii="Courier New" w:hAnsi="Courier New" w:cs="Courier New"/>
          <w:szCs w:val="24"/>
        </w:rPr>
      </w:pPr>
    </w:p>
    <w:p w:rsidR="002D5580" w:rsidRDefault="002D5580" w:rsidP="002D5580">
      <w:pPr>
        <w:tabs>
          <w:tab w:val="left" w:pos="-1440"/>
        </w:tabs>
        <w:ind w:left="720"/>
        <w:rPr>
          <w:rFonts w:ascii="Courier New" w:hAnsi="Courier New" w:cs="Courier New"/>
          <w:szCs w:val="24"/>
        </w:rPr>
      </w:pPr>
    </w:p>
    <w:p w:rsidR="002D5580" w:rsidRDefault="002D5580" w:rsidP="002D5580">
      <w:pPr>
        <w:tabs>
          <w:tab w:val="left" w:pos="-1440"/>
        </w:tabs>
        <w:ind w:left="720"/>
        <w:rPr>
          <w:rFonts w:ascii="Courier New" w:hAnsi="Courier New" w:cs="Courier New"/>
          <w:szCs w:val="24"/>
        </w:rPr>
      </w:pPr>
    </w:p>
    <w:p w:rsidR="002D5580" w:rsidRDefault="002D5580" w:rsidP="009456D2">
      <w:pPr>
        <w:numPr>
          <w:ilvl w:val="0"/>
          <w:numId w:val="24"/>
        </w:numPr>
        <w:tabs>
          <w:tab w:val="left" w:pos="-1440"/>
        </w:tabs>
        <w:rPr>
          <w:rFonts w:ascii="Courier New" w:hAnsi="Courier New" w:cs="Courier New"/>
          <w:szCs w:val="24"/>
        </w:rPr>
      </w:pPr>
      <w:r>
        <w:rPr>
          <w:rFonts w:ascii="Courier New" w:hAnsi="Courier New" w:cs="Courier New"/>
          <w:szCs w:val="24"/>
        </w:rPr>
        <w:t>Describe the calibration procedure.</w:t>
      </w:r>
    </w:p>
    <w:p w:rsidR="002D5580" w:rsidRDefault="002D5580" w:rsidP="002D5580">
      <w:pPr>
        <w:tabs>
          <w:tab w:val="left" w:pos="-1440"/>
        </w:tabs>
        <w:ind w:left="720"/>
        <w:rPr>
          <w:rFonts w:ascii="Courier New" w:hAnsi="Courier New" w:cs="Courier New"/>
          <w:szCs w:val="24"/>
        </w:rPr>
      </w:pPr>
    </w:p>
    <w:p w:rsidR="002D5580" w:rsidRDefault="002D5580" w:rsidP="002D5580">
      <w:pPr>
        <w:tabs>
          <w:tab w:val="left" w:pos="-1440"/>
        </w:tabs>
        <w:ind w:left="720"/>
        <w:rPr>
          <w:rFonts w:ascii="Courier New" w:hAnsi="Courier New" w:cs="Courier New"/>
          <w:szCs w:val="24"/>
        </w:rPr>
      </w:pPr>
    </w:p>
    <w:p w:rsidR="002D5580" w:rsidRDefault="002D5580" w:rsidP="002D5580">
      <w:pPr>
        <w:tabs>
          <w:tab w:val="left" w:pos="-1440"/>
        </w:tabs>
        <w:ind w:left="720"/>
        <w:rPr>
          <w:rFonts w:ascii="Courier New" w:hAnsi="Courier New" w:cs="Courier New"/>
          <w:szCs w:val="24"/>
        </w:rPr>
      </w:pPr>
    </w:p>
    <w:p w:rsidR="002D5580" w:rsidRDefault="002D5580" w:rsidP="002D5580">
      <w:pPr>
        <w:tabs>
          <w:tab w:val="left" w:pos="-1440"/>
        </w:tabs>
        <w:ind w:left="720"/>
        <w:rPr>
          <w:rFonts w:ascii="Courier New" w:hAnsi="Courier New" w:cs="Courier New"/>
          <w:szCs w:val="24"/>
        </w:rPr>
      </w:pPr>
    </w:p>
    <w:p w:rsidR="002D5580" w:rsidRDefault="002D5580" w:rsidP="009456D2">
      <w:pPr>
        <w:numPr>
          <w:ilvl w:val="0"/>
          <w:numId w:val="24"/>
        </w:numPr>
        <w:tabs>
          <w:tab w:val="left" w:pos="-1440"/>
        </w:tabs>
        <w:rPr>
          <w:rFonts w:ascii="Courier New" w:hAnsi="Courier New" w:cs="Courier New"/>
          <w:szCs w:val="24"/>
        </w:rPr>
      </w:pPr>
      <w:r>
        <w:rPr>
          <w:rFonts w:ascii="Courier New" w:hAnsi="Courier New" w:cs="Courier New"/>
          <w:szCs w:val="24"/>
        </w:rPr>
        <w:t>What are the interferences?</w:t>
      </w:r>
    </w:p>
    <w:p w:rsidR="002D5580" w:rsidRDefault="002D5580" w:rsidP="002D5580">
      <w:pPr>
        <w:tabs>
          <w:tab w:val="left" w:pos="-1440"/>
        </w:tabs>
        <w:ind w:left="720"/>
        <w:rPr>
          <w:rFonts w:ascii="Courier New" w:hAnsi="Courier New" w:cs="Courier New"/>
          <w:szCs w:val="24"/>
        </w:rPr>
      </w:pPr>
    </w:p>
    <w:p w:rsidR="002D5580" w:rsidRDefault="002D5580" w:rsidP="002D5580">
      <w:pPr>
        <w:tabs>
          <w:tab w:val="left" w:pos="-1440"/>
        </w:tabs>
        <w:ind w:left="720"/>
        <w:rPr>
          <w:rFonts w:ascii="Courier New" w:hAnsi="Courier New" w:cs="Courier New"/>
          <w:szCs w:val="24"/>
        </w:rPr>
      </w:pPr>
    </w:p>
    <w:p w:rsidR="002D5580" w:rsidRDefault="002D5580" w:rsidP="002D5580">
      <w:pPr>
        <w:tabs>
          <w:tab w:val="left" w:pos="-1440"/>
        </w:tabs>
        <w:ind w:left="720"/>
        <w:rPr>
          <w:rFonts w:ascii="Courier New" w:hAnsi="Courier New" w:cs="Courier New"/>
          <w:szCs w:val="24"/>
        </w:rPr>
      </w:pPr>
    </w:p>
    <w:p w:rsidR="002D5580" w:rsidRDefault="002D5580" w:rsidP="002D5580">
      <w:pPr>
        <w:tabs>
          <w:tab w:val="left" w:pos="-1440"/>
        </w:tabs>
        <w:ind w:left="720"/>
        <w:rPr>
          <w:rFonts w:ascii="Courier New" w:hAnsi="Courier New" w:cs="Courier New"/>
          <w:szCs w:val="24"/>
        </w:rPr>
      </w:pPr>
    </w:p>
    <w:p w:rsidR="00A031A1" w:rsidRDefault="002D5580" w:rsidP="00A031A1">
      <w:pPr>
        <w:numPr>
          <w:ilvl w:val="0"/>
          <w:numId w:val="24"/>
        </w:numPr>
        <w:tabs>
          <w:tab w:val="left" w:pos="-1440"/>
        </w:tabs>
        <w:rPr>
          <w:rFonts w:ascii="Courier New" w:hAnsi="Courier New" w:cs="Courier New"/>
          <w:szCs w:val="24"/>
        </w:rPr>
      </w:pPr>
      <w:r>
        <w:rPr>
          <w:rFonts w:ascii="Courier New" w:hAnsi="Courier New" w:cs="Courier New"/>
          <w:szCs w:val="24"/>
        </w:rPr>
        <w:t>What precautions and regulations need to be adhered to</w:t>
      </w:r>
      <w:r w:rsidR="00A031A1">
        <w:rPr>
          <w:rFonts w:ascii="Courier New" w:hAnsi="Courier New" w:cs="Courier New"/>
          <w:szCs w:val="24"/>
        </w:rPr>
        <w:t xml:space="preserve"> safely and legally use the XRF</w:t>
      </w:r>
      <w:r>
        <w:rPr>
          <w:rFonts w:ascii="Courier New" w:hAnsi="Courier New" w:cs="Courier New"/>
          <w:szCs w:val="24"/>
        </w:rPr>
        <w:t>?</w:t>
      </w:r>
    </w:p>
    <w:p w:rsidR="00A031A1" w:rsidRDefault="00A031A1" w:rsidP="00A031A1">
      <w:pPr>
        <w:tabs>
          <w:tab w:val="left" w:pos="-1440"/>
        </w:tabs>
        <w:ind w:left="720"/>
        <w:rPr>
          <w:rFonts w:ascii="Courier New" w:hAnsi="Courier New" w:cs="Courier New"/>
          <w:szCs w:val="24"/>
        </w:rPr>
      </w:pPr>
    </w:p>
    <w:p w:rsidR="00A031A1" w:rsidRDefault="00A031A1" w:rsidP="00A031A1">
      <w:pPr>
        <w:tabs>
          <w:tab w:val="left" w:pos="-1440"/>
        </w:tabs>
        <w:ind w:left="720"/>
        <w:rPr>
          <w:rFonts w:ascii="Courier New" w:hAnsi="Courier New" w:cs="Courier New"/>
          <w:szCs w:val="24"/>
        </w:rPr>
      </w:pPr>
    </w:p>
    <w:p w:rsidR="00A031A1" w:rsidRDefault="00A031A1" w:rsidP="00A031A1">
      <w:pPr>
        <w:tabs>
          <w:tab w:val="left" w:pos="-1440"/>
        </w:tabs>
        <w:ind w:left="720"/>
        <w:rPr>
          <w:rFonts w:ascii="Courier New" w:hAnsi="Courier New" w:cs="Courier New"/>
          <w:szCs w:val="24"/>
        </w:rPr>
      </w:pPr>
      <w:bookmarkStart w:id="0" w:name="_GoBack"/>
      <w:bookmarkEnd w:id="0"/>
    </w:p>
    <w:p w:rsidR="00A031A1" w:rsidRDefault="00A031A1" w:rsidP="00A031A1">
      <w:pPr>
        <w:tabs>
          <w:tab w:val="left" w:pos="-1440"/>
        </w:tabs>
        <w:ind w:left="720"/>
        <w:rPr>
          <w:rFonts w:ascii="Courier New" w:hAnsi="Courier New" w:cs="Courier New"/>
          <w:szCs w:val="24"/>
        </w:rPr>
      </w:pPr>
    </w:p>
    <w:p w:rsidR="00A031A1" w:rsidRDefault="00A031A1" w:rsidP="00A031A1">
      <w:pPr>
        <w:tabs>
          <w:tab w:val="left" w:pos="-1440"/>
        </w:tabs>
        <w:ind w:left="720"/>
        <w:rPr>
          <w:rFonts w:ascii="Courier New" w:hAnsi="Courier New" w:cs="Courier New"/>
          <w:szCs w:val="24"/>
        </w:rPr>
      </w:pPr>
    </w:p>
    <w:p w:rsidR="00A031A1" w:rsidRDefault="00A031A1" w:rsidP="00A031A1">
      <w:pPr>
        <w:tabs>
          <w:tab w:val="left" w:pos="-1440"/>
        </w:tabs>
        <w:ind w:left="720"/>
        <w:rPr>
          <w:rFonts w:ascii="Courier New" w:hAnsi="Courier New" w:cs="Courier New"/>
          <w:szCs w:val="24"/>
        </w:rPr>
      </w:pPr>
    </w:p>
    <w:p w:rsidR="00A031A1" w:rsidRPr="00A031A1" w:rsidRDefault="00A031A1" w:rsidP="00A031A1">
      <w:pPr>
        <w:numPr>
          <w:ilvl w:val="0"/>
          <w:numId w:val="24"/>
        </w:numPr>
        <w:tabs>
          <w:tab w:val="left" w:pos="-1440"/>
        </w:tabs>
        <w:rPr>
          <w:rFonts w:ascii="Courier New" w:hAnsi="Courier New" w:cs="Courier New"/>
          <w:szCs w:val="24"/>
        </w:rPr>
      </w:pPr>
      <w:r>
        <w:rPr>
          <w:rFonts w:ascii="Courier New" w:hAnsi="Courier New" w:cs="Courier New"/>
          <w:szCs w:val="24"/>
        </w:rPr>
        <w:t xml:space="preserve">What elements and what levels were observed on the pottery sample? </w:t>
      </w:r>
    </w:p>
    <w:p w:rsidR="009456D2" w:rsidRDefault="009456D2"/>
    <w:sectPr w:rsidR="009456D2">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FCAF52"/>
    <w:lvl w:ilvl="0">
      <w:numFmt w:val="bullet"/>
      <w:lvlText w:val="*"/>
      <w:lvlJc w:val="left"/>
    </w:lvl>
  </w:abstractNum>
  <w:abstractNum w:abstractNumId="1">
    <w:nsid w:val="0C8167AB"/>
    <w:multiLevelType w:val="hybridMultilevel"/>
    <w:tmpl w:val="AF721334"/>
    <w:lvl w:ilvl="0" w:tplc="777E92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1B133B"/>
    <w:multiLevelType w:val="hybridMultilevel"/>
    <w:tmpl w:val="FE464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058A8"/>
    <w:multiLevelType w:val="hybridMultilevel"/>
    <w:tmpl w:val="F7843DBA"/>
    <w:lvl w:ilvl="0" w:tplc="777E92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9B2ED9"/>
    <w:multiLevelType w:val="hybridMultilevel"/>
    <w:tmpl w:val="FC7E0198"/>
    <w:lvl w:ilvl="0" w:tplc="777E92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1B5397"/>
    <w:multiLevelType w:val="hybridMultilevel"/>
    <w:tmpl w:val="FD7645FC"/>
    <w:lvl w:ilvl="0" w:tplc="777E92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806344"/>
    <w:multiLevelType w:val="hybridMultilevel"/>
    <w:tmpl w:val="5DC6C770"/>
    <w:lvl w:ilvl="0" w:tplc="777E920E">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nsid w:val="21A55CA4"/>
    <w:multiLevelType w:val="hybridMultilevel"/>
    <w:tmpl w:val="3CCE3A4E"/>
    <w:lvl w:ilvl="0" w:tplc="777E92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6B1EDD"/>
    <w:multiLevelType w:val="hybridMultilevel"/>
    <w:tmpl w:val="5B402B18"/>
    <w:lvl w:ilvl="0" w:tplc="777E92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827311"/>
    <w:multiLevelType w:val="hybridMultilevel"/>
    <w:tmpl w:val="39D06C66"/>
    <w:lvl w:ilvl="0" w:tplc="A5288BA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6B4A74"/>
    <w:multiLevelType w:val="hybridMultilevel"/>
    <w:tmpl w:val="25160BE4"/>
    <w:lvl w:ilvl="0" w:tplc="777E92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AE6CDD"/>
    <w:multiLevelType w:val="hybridMultilevel"/>
    <w:tmpl w:val="71400ECA"/>
    <w:lvl w:ilvl="0" w:tplc="777E92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DD1E85"/>
    <w:multiLevelType w:val="hybridMultilevel"/>
    <w:tmpl w:val="27601012"/>
    <w:lvl w:ilvl="0" w:tplc="777E92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F644A3"/>
    <w:multiLevelType w:val="hybridMultilevel"/>
    <w:tmpl w:val="AF4A47F4"/>
    <w:lvl w:ilvl="0" w:tplc="777E92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5B583B"/>
    <w:multiLevelType w:val="hybridMultilevel"/>
    <w:tmpl w:val="36C45EB8"/>
    <w:lvl w:ilvl="0" w:tplc="777E92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7521B3"/>
    <w:multiLevelType w:val="hybridMultilevel"/>
    <w:tmpl w:val="28DA7AAC"/>
    <w:lvl w:ilvl="0" w:tplc="777E92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D851FA"/>
    <w:multiLevelType w:val="hybridMultilevel"/>
    <w:tmpl w:val="6E1A7718"/>
    <w:lvl w:ilvl="0" w:tplc="777E92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213068"/>
    <w:multiLevelType w:val="hybridMultilevel"/>
    <w:tmpl w:val="A55066FE"/>
    <w:lvl w:ilvl="0" w:tplc="777E92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240950"/>
    <w:multiLevelType w:val="hybridMultilevel"/>
    <w:tmpl w:val="E190CE80"/>
    <w:lvl w:ilvl="0" w:tplc="777E92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6625CB"/>
    <w:multiLevelType w:val="hybridMultilevel"/>
    <w:tmpl w:val="3BDE1198"/>
    <w:lvl w:ilvl="0" w:tplc="777E92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AC0CFB"/>
    <w:multiLevelType w:val="hybridMultilevel"/>
    <w:tmpl w:val="7C34537C"/>
    <w:lvl w:ilvl="0" w:tplc="777E92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19"/>
  </w:num>
  <w:num w:numId="4">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5">
    <w:abstractNumId w:val="0"/>
    <w:lvlOverride w:ilvl="0">
      <w:lvl w:ilvl="0">
        <w:numFmt w:val="bullet"/>
        <w:lvlText w:val="•"/>
        <w:legacy w:legacy="1" w:legacySpace="0" w:legacyIndent="0"/>
        <w:lvlJc w:val="left"/>
        <w:rPr>
          <w:rFonts w:ascii="Times New Roman" w:hAnsi="Times New Roman" w:cs="Times New Roman" w:hint="default"/>
          <w:sz w:val="32"/>
        </w:rPr>
      </w:lvl>
    </w:lvlOverride>
  </w:num>
  <w:num w:numId="6">
    <w:abstractNumId w:val="11"/>
  </w:num>
  <w:num w:numId="7">
    <w:abstractNumId w:val="13"/>
  </w:num>
  <w:num w:numId="8">
    <w:abstractNumId w:val="17"/>
  </w:num>
  <w:num w:numId="9">
    <w:abstractNumId w:val="16"/>
  </w:num>
  <w:num w:numId="10">
    <w:abstractNumId w:val="0"/>
    <w:lvlOverride w:ilvl="0">
      <w:lvl w:ilvl="0">
        <w:numFmt w:val="bullet"/>
        <w:lvlText w:val=""/>
        <w:legacy w:legacy="1" w:legacySpace="0" w:legacyIndent="0"/>
        <w:lvlJc w:val="left"/>
        <w:rPr>
          <w:rFonts w:ascii="Wingdings" w:hAnsi="Wingdings" w:hint="default"/>
          <w:sz w:val="28"/>
        </w:rPr>
      </w:lvl>
    </w:lvlOverride>
  </w:num>
  <w:num w:numId="11">
    <w:abstractNumId w:val="0"/>
    <w:lvlOverride w:ilvl="0">
      <w:lvl w:ilvl="0">
        <w:numFmt w:val="bullet"/>
        <w:lvlText w:val=""/>
        <w:legacy w:legacy="1" w:legacySpace="0" w:legacyIndent="0"/>
        <w:lvlJc w:val="left"/>
        <w:rPr>
          <w:rFonts w:ascii="Wingdings" w:hAnsi="Wingdings" w:hint="default"/>
          <w:sz w:val="28"/>
        </w:rPr>
      </w:lvl>
    </w:lvlOverride>
  </w:num>
  <w:num w:numId="12">
    <w:abstractNumId w:val="18"/>
  </w:num>
  <w:num w:numId="13">
    <w:abstractNumId w:val="3"/>
  </w:num>
  <w:num w:numId="14">
    <w:abstractNumId w:val="9"/>
  </w:num>
  <w:num w:numId="15">
    <w:abstractNumId w:val="1"/>
  </w:num>
  <w:num w:numId="16">
    <w:abstractNumId w:val="15"/>
  </w:num>
  <w:num w:numId="17">
    <w:abstractNumId w:val="10"/>
  </w:num>
  <w:num w:numId="18">
    <w:abstractNumId w:val="14"/>
  </w:num>
  <w:num w:numId="19">
    <w:abstractNumId w:val="5"/>
  </w:num>
  <w:num w:numId="20">
    <w:abstractNumId w:val="4"/>
  </w:num>
  <w:num w:numId="21">
    <w:abstractNumId w:val="7"/>
  </w:num>
  <w:num w:numId="22">
    <w:abstractNumId w:val="8"/>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87"/>
    <w:rsid w:val="0015580D"/>
    <w:rsid w:val="001F02F6"/>
    <w:rsid w:val="002174F1"/>
    <w:rsid w:val="002D5580"/>
    <w:rsid w:val="00380F0A"/>
    <w:rsid w:val="00555A0F"/>
    <w:rsid w:val="00571BAB"/>
    <w:rsid w:val="00585D2F"/>
    <w:rsid w:val="006169FD"/>
    <w:rsid w:val="0064301D"/>
    <w:rsid w:val="00647FAE"/>
    <w:rsid w:val="006648EC"/>
    <w:rsid w:val="006D7D60"/>
    <w:rsid w:val="007072FB"/>
    <w:rsid w:val="00725646"/>
    <w:rsid w:val="0078073D"/>
    <w:rsid w:val="00792EA5"/>
    <w:rsid w:val="007D200D"/>
    <w:rsid w:val="00916387"/>
    <w:rsid w:val="00941AF8"/>
    <w:rsid w:val="009456D2"/>
    <w:rsid w:val="00A031A1"/>
    <w:rsid w:val="00A15DAD"/>
    <w:rsid w:val="00A17692"/>
    <w:rsid w:val="00B335A4"/>
    <w:rsid w:val="00B70A90"/>
    <w:rsid w:val="00BF04A5"/>
    <w:rsid w:val="00C21162"/>
    <w:rsid w:val="00C6789C"/>
    <w:rsid w:val="00D155F6"/>
    <w:rsid w:val="00E172B3"/>
    <w:rsid w:val="00E33CDB"/>
    <w:rsid w:val="00F4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spacing w:line="480" w:lineRule="auto"/>
      <w:outlineLvl w:val="1"/>
    </w:pPr>
    <w:rPr>
      <w:b/>
    </w:rPr>
  </w:style>
  <w:style w:type="paragraph" w:styleId="Heading3">
    <w:name w:val="heading 3"/>
    <w:basedOn w:val="Normal"/>
    <w:next w:val="Normal"/>
    <w:qFormat/>
    <w:pPr>
      <w:keepNext/>
      <w:tabs>
        <w:tab w:val="left" w:pos="630"/>
        <w:tab w:val="left" w:pos="1260"/>
        <w:tab w:val="left" w:pos="1800"/>
      </w:tabs>
      <w:outlineLvl w:val="2"/>
    </w:pPr>
    <w:rPr>
      <w:rFonts w:ascii="Arial" w:hAnsi="Arial"/>
      <w:b/>
      <w:snapToGrid/>
      <w:sz w:val="16"/>
    </w:rPr>
  </w:style>
  <w:style w:type="paragraph" w:styleId="Heading4">
    <w:name w:val="heading 4"/>
    <w:basedOn w:val="Normal"/>
    <w:next w:val="Normal"/>
    <w:qFormat/>
    <w:pPr>
      <w:keepNext/>
      <w:spacing w:line="480" w:lineRule="auto"/>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spacing w:line="480" w:lineRule="auto"/>
      <w:ind w:firstLine="720"/>
      <w:outlineLvl w:val="0"/>
    </w:pPr>
  </w:style>
  <w:style w:type="paragraph" w:styleId="Footer">
    <w:name w:val="footer"/>
    <w:basedOn w:val="Normal"/>
    <w:pPr>
      <w:tabs>
        <w:tab w:val="center" w:pos="4320"/>
        <w:tab w:val="right" w:pos="8640"/>
      </w:tabs>
    </w:pPr>
    <w:rPr>
      <w:snapToGrid/>
    </w:rPr>
  </w:style>
  <w:style w:type="paragraph" w:styleId="BodyTextIndent2">
    <w:name w:val="Body Text Indent 2"/>
    <w:basedOn w:val="Normal"/>
    <w:pPr>
      <w:tabs>
        <w:tab w:val="left" w:pos="1800"/>
      </w:tabs>
      <w:ind w:left="612"/>
    </w:pPr>
    <w:rPr>
      <w:rFonts w:ascii="Courier New" w:hAnsi="Courier New" w:cs="Courier"/>
    </w:rPr>
  </w:style>
  <w:style w:type="paragraph" w:styleId="BodyTextIndent3">
    <w:name w:val="Body Text Indent 3"/>
    <w:basedOn w:val="Normal"/>
    <w:pPr>
      <w:ind w:left="3600" w:hanging="3600"/>
    </w:pPr>
  </w:style>
  <w:style w:type="character" w:styleId="Hyperlink">
    <w:name w:val="Hyperlink"/>
    <w:basedOn w:val="DefaultParagraphFont"/>
    <w:rPr>
      <w:color w:val="0000FF"/>
      <w:u w:val="single"/>
    </w:rPr>
  </w:style>
  <w:style w:type="table" w:styleId="TableGrid">
    <w:name w:val="Table Grid"/>
    <w:basedOn w:val="TableNormal"/>
    <w:rsid w:val="0072564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155F6"/>
    <w:rPr>
      <w:rFonts w:ascii="Tahoma" w:hAnsi="Tahoma" w:cs="Tahoma"/>
      <w:sz w:val="16"/>
      <w:szCs w:val="16"/>
    </w:rPr>
  </w:style>
  <w:style w:type="character" w:customStyle="1" w:styleId="BalloonTextChar">
    <w:name w:val="Balloon Text Char"/>
    <w:basedOn w:val="DefaultParagraphFont"/>
    <w:link w:val="BalloonText"/>
    <w:rsid w:val="00D155F6"/>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spacing w:line="480" w:lineRule="auto"/>
      <w:outlineLvl w:val="1"/>
    </w:pPr>
    <w:rPr>
      <w:b/>
    </w:rPr>
  </w:style>
  <w:style w:type="paragraph" w:styleId="Heading3">
    <w:name w:val="heading 3"/>
    <w:basedOn w:val="Normal"/>
    <w:next w:val="Normal"/>
    <w:qFormat/>
    <w:pPr>
      <w:keepNext/>
      <w:tabs>
        <w:tab w:val="left" w:pos="630"/>
        <w:tab w:val="left" w:pos="1260"/>
        <w:tab w:val="left" w:pos="1800"/>
      </w:tabs>
      <w:outlineLvl w:val="2"/>
    </w:pPr>
    <w:rPr>
      <w:rFonts w:ascii="Arial" w:hAnsi="Arial"/>
      <w:b/>
      <w:snapToGrid/>
      <w:sz w:val="16"/>
    </w:rPr>
  </w:style>
  <w:style w:type="paragraph" w:styleId="Heading4">
    <w:name w:val="heading 4"/>
    <w:basedOn w:val="Normal"/>
    <w:next w:val="Normal"/>
    <w:qFormat/>
    <w:pPr>
      <w:keepNext/>
      <w:spacing w:line="480" w:lineRule="auto"/>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spacing w:line="480" w:lineRule="auto"/>
      <w:ind w:firstLine="720"/>
      <w:outlineLvl w:val="0"/>
    </w:pPr>
  </w:style>
  <w:style w:type="paragraph" w:styleId="Footer">
    <w:name w:val="footer"/>
    <w:basedOn w:val="Normal"/>
    <w:pPr>
      <w:tabs>
        <w:tab w:val="center" w:pos="4320"/>
        <w:tab w:val="right" w:pos="8640"/>
      </w:tabs>
    </w:pPr>
    <w:rPr>
      <w:snapToGrid/>
    </w:rPr>
  </w:style>
  <w:style w:type="paragraph" w:styleId="BodyTextIndent2">
    <w:name w:val="Body Text Indent 2"/>
    <w:basedOn w:val="Normal"/>
    <w:pPr>
      <w:tabs>
        <w:tab w:val="left" w:pos="1800"/>
      </w:tabs>
      <w:ind w:left="612"/>
    </w:pPr>
    <w:rPr>
      <w:rFonts w:ascii="Courier New" w:hAnsi="Courier New" w:cs="Courier"/>
    </w:rPr>
  </w:style>
  <w:style w:type="paragraph" w:styleId="BodyTextIndent3">
    <w:name w:val="Body Text Indent 3"/>
    <w:basedOn w:val="Normal"/>
    <w:pPr>
      <w:ind w:left="3600" w:hanging="3600"/>
    </w:pPr>
  </w:style>
  <w:style w:type="character" w:styleId="Hyperlink">
    <w:name w:val="Hyperlink"/>
    <w:basedOn w:val="DefaultParagraphFont"/>
    <w:rPr>
      <w:color w:val="0000FF"/>
      <w:u w:val="single"/>
    </w:rPr>
  </w:style>
  <w:style w:type="table" w:styleId="TableGrid">
    <w:name w:val="Table Grid"/>
    <w:basedOn w:val="TableNormal"/>
    <w:rsid w:val="0072564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155F6"/>
    <w:rPr>
      <w:rFonts w:ascii="Tahoma" w:hAnsi="Tahoma" w:cs="Tahoma"/>
      <w:sz w:val="16"/>
      <w:szCs w:val="16"/>
    </w:rPr>
  </w:style>
  <w:style w:type="character" w:customStyle="1" w:styleId="BalloonTextChar">
    <w:name w:val="Balloon Text Char"/>
    <w:basedOn w:val="DefaultParagraphFont"/>
    <w:link w:val="BalloonText"/>
    <w:rsid w:val="00D155F6"/>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Gas Chromatography/Mass Spectrometry (GC/MS) and Infrared Spectrometry (IR) will be incorporated into curricula and offer research opportunities to undergraduate students in Environmental Sciences</vt:lpstr>
    </vt:vector>
  </TitlesOfParts>
  <Company>UHCL</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Chromatography/Mass Spectrometry (GC/MS) and Infrared Spectrometry (IR) will be incorporated into curricula and offer research opportunities to undergraduate students in Environmental Sciences</dc:title>
  <dc:creator>Casserly</dc:creator>
  <cp:lastModifiedBy>casserly</cp:lastModifiedBy>
  <cp:revision>2</cp:revision>
  <cp:lastPrinted>2010-11-01T16:32:00Z</cp:lastPrinted>
  <dcterms:created xsi:type="dcterms:W3CDTF">2013-11-01T16:15:00Z</dcterms:created>
  <dcterms:modified xsi:type="dcterms:W3CDTF">2013-11-01T16:15:00Z</dcterms:modified>
</cp:coreProperties>
</file>